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71C41" w14:textId="77777777" w:rsidR="00216E1C" w:rsidRDefault="00216E1C" w:rsidP="00CD755B">
      <w:pPr>
        <w:jc w:val="center"/>
        <w:outlineLvl w:val="0"/>
        <w:rPr>
          <w:b/>
          <w:bCs/>
          <w:color w:val="000000"/>
        </w:rPr>
      </w:pPr>
      <w:bookmarkStart w:id="0" w:name="_GoBack"/>
      <w:bookmarkEnd w:id="0"/>
    </w:p>
    <w:p w14:paraId="3D654BCC" w14:textId="006B2333" w:rsidR="00CD755B" w:rsidRDefault="00493AC2" w:rsidP="00CD755B">
      <w:pPr>
        <w:jc w:val="center"/>
        <w:outlineLvl w:val="0"/>
        <w:rPr>
          <w:b/>
          <w:bCs/>
          <w:color w:val="000000"/>
        </w:rPr>
      </w:pPr>
      <w:r>
        <w:rPr>
          <w:b/>
          <w:bCs/>
          <w:color w:val="000000"/>
        </w:rPr>
        <w:t>INTERIM</w:t>
      </w:r>
      <w:r w:rsidR="00CD755B" w:rsidRPr="0019651B">
        <w:rPr>
          <w:b/>
          <w:bCs/>
          <w:color w:val="000000"/>
        </w:rPr>
        <w:t xml:space="preserve"> STATEMENT</w:t>
      </w:r>
    </w:p>
    <w:p w14:paraId="6F197344" w14:textId="77777777" w:rsidR="00F25768" w:rsidRDefault="00F25768" w:rsidP="00CD755B">
      <w:pPr>
        <w:jc w:val="center"/>
        <w:outlineLvl w:val="0"/>
        <w:rPr>
          <w:b/>
          <w:bCs/>
          <w:color w:val="000000"/>
        </w:rPr>
      </w:pPr>
    </w:p>
    <w:p w14:paraId="1611B199" w14:textId="77777777" w:rsidR="00A616E4" w:rsidRDefault="00A616E4" w:rsidP="00CD755B">
      <w:pPr>
        <w:jc w:val="center"/>
        <w:outlineLvl w:val="0"/>
        <w:rPr>
          <w:b/>
          <w:bCs/>
          <w:color w:val="000000"/>
        </w:rPr>
      </w:pPr>
    </w:p>
    <w:p w14:paraId="1EFF8469" w14:textId="77777777" w:rsidR="008D5564" w:rsidRDefault="00493AC2" w:rsidP="00A616E4">
      <w:pPr>
        <w:jc w:val="center"/>
        <w:rPr>
          <w:rFonts w:asciiTheme="majorBidi" w:hAnsiTheme="majorBidi" w:cstheme="majorBidi"/>
          <w:b/>
          <w:sz w:val="32"/>
          <w:szCs w:val="32"/>
        </w:rPr>
      </w:pPr>
      <w:r w:rsidRPr="00493AC2">
        <w:rPr>
          <w:rFonts w:asciiTheme="majorBidi" w:hAnsiTheme="majorBidi" w:cstheme="majorBidi"/>
          <w:b/>
          <w:sz w:val="32"/>
          <w:szCs w:val="32"/>
        </w:rPr>
        <w:t xml:space="preserve">Recommendations for the Re-Run </w:t>
      </w:r>
    </w:p>
    <w:p w14:paraId="5526FDB2" w14:textId="3F7A1A6E" w:rsidR="00A616E4" w:rsidRDefault="00F25768" w:rsidP="008D5564">
      <w:pPr>
        <w:jc w:val="center"/>
        <w:rPr>
          <w:rFonts w:asciiTheme="majorBidi" w:hAnsiTheme="majorBidi" w:cstheme="majorBidi"/>
          <w:b/>
          <w:sz w:val="32"/>
          <w:szCs w:val="32"/>
        </w:rPr>
      </w:pPr>
      <w:r>
        <w:rPr>
          <w:rFonts w:asciiTheme="majorBidi" w:hAnsiTheme="majorBidi" w:cstheme="majorBidi"/>
          <w:b/>
          <w:sz w:val="32"/>
          <w:szCs w:val="32"/>
        </w:rPr>
        <w:t>B</w:t>
      </w:r>
      <w:r w:rsidR="00493AC2" w:rsidRPr="00493AC2">
        <w:rPr>
          <w:rFonts w:asciiTheme="majorBidi" w:hAnsiTheme="majorBidi" w:cstheme="majorBidi"/>
          <w:b/>
          <w:sz w:val="32"/>
          <w:szCs w:val="32"/>
        </w:rPr>
        <w:t xml:space="preserve">ased on Findings </w:t>
      </w:r>
      <w:r w:rsidR="005320BF" w:rsidRPr="00493AC2">
        <w:rPr>
          <w:rFonts w:asciiTheme="majorBidi" w:hAnsiTheme="majorBidi" w:cstheme="majorBidi"/>
          <w:b/>
          <w:sz w:val="32"/>
          <w:szCs w:val="32"/>
        </w:rPr>
        <w:t>Since</w:t>
      </w:r>
      <w:r w:rsidR="00493AC2" w:rsidRPr="00493AC2">
        <w:rPr>
          <w:rFonts w:asciiTheme="majorBidi" w:hAnsiTheme="majorBidi" w:cstheme="majorBidi"/>
          <w:b/>
          <w:sz w:val="32"/>
          <w:szCs w:val="32"/>
        </w:rPr>
        <w:t xml:space="preserve"> the 8</w:t>
      </w:r>
      <w:r w:rsidR="00EA7A1C">
        <w:rPr>
          <w:rFonts w:asciiTheme="majorBidi" w:hAnsiTheme="majorBidi" w:cstheme="majorBidi"/>
          <w:b/>
          <w:sz w:val="32"/>
          <w:szCs w:val="32"/>
        </w:rPr>
        <w:t xml:space="preserve"> </w:t>
      </w:r>
      <w:r w:rsidR="00493AC2" w:rsidRPr="00493AC2">
        <w:rPr>
          <w:rFonts w:asciiTheme="majorBidi" w:hAnsiTheme="majorBidi" w:cstheme="majorBidi"/>
          <w:b/>
          <w:sz w:val="32"/>
          <w:szCs w:val="32"/>
        </w:rPr>
        <w:t>August Election Day</w:t>
      </w:r>
      <w:r w:rsidR="00A616E4" w:rsidRPr="00195CE5">
        <w:rPr>
          <w:rFonts w:asciiTheme="majorBidi" w:hAnsiTheme="majorBidi" w:cstheme="majorBidi"/>
          <w:b/>
          <w:sz w:val="32"/>
          <w:szCs w:val="32"/>
        </w:rPr>
        <w:t xml:space="preserve"> </w:t>
      </w:r>
    </w:p>
    <w:p w14:paraId="53DF84B5" w14:textId="77777777" w:rsidR="00A616E4" w:rsidRDefault="00A616E4" w:rsidP="00A616E4">
      <w:pPr>
        <w:jc w:val="center"/>
        <w:rPr>
          <w:b/>
        </w:rPr>
      </w:pPr>
    </w:p>
    <w:p w14:paraId="347FFB39" w14:textId="57D74178" w:rsidR="00A616E4" w:rsidRPr="00A616E4" w:rsidRDefault="00A616E4" w:rsidP="002239F5">
      <w:pPr>
        <w:jc w:val="center"/>
        <w:rPr>
          <w:b/>
        </w:rPr>
      </w:pPr>
      <w:r w:rsidRPr="00142173">
        <w:rPr>
          <w:b/>
        </w:rPr>
        <w:t xml:space="preserve">Nairobi, </w:t>
      </w:r>
      <w:r w:rsidR="00493AC2" w:rsidRPr="001409A0">
        <w:rPr>
          <w:b/>
        </w:rPr>
        <w:t>1</w:t>
      </w:r>
      <w:r w:rsidR="006F589E" w:rsidRPr="001409A0">
        <w:rPr>
          <w:b/>
        </w:rPr>
        <w:t>4</w:t>
      </w:r>
      <w:r w:rsidR="00493AC2">
        <w:rPr>
          <w:b/>
        </w:rPr>
        <w:t xml:space="preserve"> September</w:t>
      </w:r>
      <w:r w:rsidRPr="00142173">
        <w:rPr>
          <w:b/>
        </w:rPr>
        <w:t xml:space="preserve"> 2017</w:t>
      </w:r>
    </w:p>
    <w:p w14:paraId="1C095371" w14:textId="77777777" w:rsidR="00A616E4" w:rsidRDefault="00A616E4" w:rsidP="00A616E4">
      <w:pPr>
        <w:rPr>
          <w:color w:val="000000"/>
          <w:sz w:val="22"/>
          <w:szCs w:val="22"/>
        </w:rPr>
      </w:pPr>
    </w:p>
    <w:p w14:paraId="3F02A725" w14:textId="77777777" w:rsidR="005320BF" w:rsidRDefault="005320BF" w:rsidP="005320BF"/>
    <w:p w14:paraId="168B0A5E" w14:textId="77777777" w:rsidR="00F25768" w:rsidRPr="00623F2A" w:rsidRDefault="00F25768" w:rsidP="005320BF"/>
    <w:p w14:paraId="6785024D" w14:textId="031622BF" w:rsidR="00F85F4B" w:rsidRDefault="005320BF" w:rsidP="005320BF">
      <w:pPr>
        <w:rPr>
          <w:sz w:val="22"/>
          <w:szCs w:val="22"/>
        </w:rPr>
      </w:pPr>
      <w:r w:rsidRPr="002D2B73">
        <w:rPr>
          <w:sz w:val="22"/>
          <w:szCs w:val="22"/>
        </w:rPr>
        <w:t>The EU</w:t>
      </w:r>
      <w:r w:rsidR="00736D5E">
        <w:rPr>
          <w:sz w:val="22"/>
          <w:szCs w:val="22"/>
        </w:rPr>
        <w:t xml:space="preserve"> E</w:t>
      </w:r>
      <w:r w:rsidR="00532543">
        <w:rPr>
          <w:sz w:val="22"/>
          <w:szCs w:val="22"/>
        </w:rPr>
        <w:t xml:space="preserve">lection </w:t>
      </w:r>
      <w:r w:rsidR="00736D5E">
        <w:rPr>
          <w:sz w:val="22"/>
          <w:szCs w:val="22"/>
        </w:rPr>
        <w:t>O</w:t>
      </w:r>
      <w:r w:rsidR="00532543">
        <w:rPr>
          <w:sz w:val="22"/>
          <w:szCs w:val="22"/>
        </w:rPr>
        <w:t xml:space="preserve">bservation </w:t>
      </w:r>
      <w:r w:rsidR="00736D5E">
        <w:rPr>
          <w:sz w:val="22"/>
          <w:szCs w:val="22"/>
        </w:rPr>
        <w:t>M</w:t>
      </w:r>
      <w:r w:rsidR="00532543">
        <w:rPr>
          <w:sz w:val="22"/>
          <w:szCs w:val="22"/>
        </w:rPr>
        <w:t>ission (EU EOM)</w:t>
      </w:r>
      <w:r w:rsidRPr="002D2B73">
        <w:rPr>
          <w:sz w:val="22"/>
          <w:szCs w:val="22"/>
        </w:rPr>
        <w:t xml:space="preserve"> </w:t>
      </w:r>
      <w:r w:rsidR="008632B8">
        <w:rPr>
          <w:sz w:val="22"/>
          <w:szCs w:val="22"/>
        </w:rPr>
        <w:t xml:space="preserve">has been invited </w:t>
      </w:r>
      <w:r w:rsidRPr="002D2B73">
        <w:rPr>
          <w:sz w:val="22"/>
          <w:szCs w:val="22"/>
        </w:rPr>
        <w:t>to observ</w:t>
      </w:r>
      <w:r w:rsidR="003B6381">
        <w:rPr>
          <w:sz w:val="22"/>
          <w:szCs w:val="22"/>
        </w:rPr>
        <w:t>e</w:t>
      </w:r>
      <w:r w:rsidRPr="002D2B73">
        <w:rPr>
          <w:sz w:val="22"/>
          <w:szCs w:val="22"/>
        </w:rPr>
        <w:t xml:space="preserve"> the entire electoral process in Kenya, including the re-run </w:t>
      </w:r>
      <w:r w:rsidR="00B55637">
        <w:rPr>
          <w:sz w:val="22"/>
          <w:szCs w:val="22"/>
        </w:rPr>
        <w:t xml:space="preserve">of the presidential election </w:t>
      </w:r>
      <w:r w:rsidRPr="002D2B73">
        <w:rPr>
          <w:sz w:val="22"/>
          <w:szCs w:val="22"/>
        </w:rPr>
        <w:t xml:space="preserve">ordered by the Supreme Court on 1 September. </w:t>
      </w:r>
      <w:r w:rsidR="008632B8">
        <w:rPr>
          <w:sz w:val="22"/>
          <w:szCs w:val="22"/>
        </w:rPr>
        <w:t>In this interim statement w</w:t>
      </w:r>
      <w:r w:rsidRPr="002D2B73">
        <w:rPr>
          <w:sz w:val="22"/>
          <w:szCs w:val="22"/>
        </w:rPr>
        <w:t xml:space="preserve">e </w:t>
      </w:r>
      <w:r w:rsidR="00B55637">
        <w:rPr>
          <w:sz w:val="22"/>
          <w:szCs w:val="22"/>
        </w:rPr>
        <w:t>are concluding our observation of the 8 August elections and are sharing our recommendations for future elections, in this case the scheduled 17 October re-run. Making recommendations is a key part of all EU election observation work.</w:t>
      </w:r>
      <w:r w:rsidRPr="002D2B73">
        <w:rPr>
          <w:sz w:val="22"/>
          <w:szCs w:val="22"/>
        </w:rPr>
        <w:t xml:space="preserve"> </w:t>
      </w:r>
      <w:r w:rsidR="00B55637" w:rsidRPr="002D2B73">
        <w:rPr>
          <w:sz w:val="22"/>
          <w:szCs w:val="22"/>
        </w:rPr>
        <w:t xml:space="preserve">These are offered to </w:t>
      </w:r>
      <w:r w:rsidR="00B55637">
        <w:rPr>
          <w:sz w:val="22"/>
          <w:szCs w:val="22"/>
        </w:rPr>
        <w:t>Kenyan stakeholders</w:t>
      </w:r>
      <w:r w:rsidR="00B55637" w:rsidRPr="002D2B73">
        <w:rPr>
          <w:sz w:val="22"/>
          <w:szCs w:val="22"/>
        </w:rPr>
        <w:t xml:space="preserve"> for consideration, </w:t>
      </w:r>
      <w:r w:rsidR="001D08F3">
        <w:rPr>
          <w:sz w:val="22"/>
          <w:szCs w:val="22"/>
        </w:rPr>
        <w:t xml:space="preserve">and publicized in the interest of transparency, </w:t>
      </w:r>
      <w:r w:rsidR="00B55637" w:rsidRPr="002D2B73">
        <w:rPr>
          <w:sz w:val="22"/>
          <w:szCs w:val="22"/>
        </w:rPr>
        <w:t xml:space="preserve">with the aim of increasing electoral integrity and improving the overall process.  </w:t>
      </w:r>
    </w:p>
    <w:p w14:paraId="0AB0BA15" w14:textId="77777777" w:rsidR="00F85F4B" w:rsidRDefault="00F85F4B" w:rsidP="005320BF">
      <w:pPr>
        <w:rPr>
          <w:sz w:val="22"/>
          <w:szCs w:val="22"/>
        </w:rPr>
      </w:pPr>
    </w:p>
    <w:p w14:paraId="271C2F74" w14:textId="44DB1566" w:rsidR="005320BF" w:rsidRPr="002D2B73" w:rsidRDefault="005320BF" w:rsidP="005320BF">
      <w:pPr>
        <w:rPr>
          <w:sz w:val="22"/>
          <w:szCs w:val="22"/>
        </w:rPr>
      </w:pPr>
      <w:r w:rsidRPr="002D2B73">
        <w:rPr>
          <w:sz w:val="22"/>
          <w:szCs w:val="22"/>
        </w:rPr>
        <w:t xml:space="preserve">As with every electoral observation </w:t>
      </w:r>
      <w:r w:rsidR="00073A7D">
        <w:rPr>
          <w:sz w:val="22"/>
          <w:szCs w:val="22"/>
        </w:rPr>
        <w:t xml:space="preserve">mission </w:t>
      </w:r>
      <w:r w:rsidRPr="002D2B73">
        <w:rPr>
          <w:sz w:val="22"/>
          <w:szCs w:val="22"/>
        </w:rPr>
        <w:t>the EU conducts, we are committed to impartiality and independence, and bound by the EU's methodology.</w:t>
      </w:r>
      <w:r w:rsidRPr="002D2B73">
        <w:rPr>
          <w:rStyle w:val="FootnoteReference"/>
          <w:sz w:val="22"/>
          <w:szCs w:val="22"/>
        </w:rPr>
        <w:footnoteReference w:id="1"/>
      </w:r>
      <w:r w:rsidRPr="002D2B73">
        <w:rPr>
          <w:sz w:val="22"/>
          <w:szCs w:val="22"/>
        </w:rPr>
        <w:t xml:space="preserve"> We do not favo</w:t>
      </w:r>
      <w:r w:rsidR="002D2B73">
        <w:rPr>
          <w:sz w:val="22"/>
          <w:szCs w:val="22"/>
        </w:rPr>
        <w:t>u</w:t>
      </w:r>
      <w:r w:rsidRPr="002D2B73">
        <w:rPr>
          <w:sz w:val="22"/>
          <w:szCs w:val="22"/>
        </w:rPr>
        <w:t xml:space="preserve">r any particular outcome, and work to support the </w:t>
      </w:r>
      <w:r w:rsidR="002D2B73" w:rsidRPr="002D2B73">
        <w:rPr>
          <w:sz w:val="22"/>
          <w:szCs w:val="22"/>
        </w:rPr>
        <w:t>fulfilment</w:t>
      </w:r>
      <w:r w:rsidRPr="002D2B73">
        <w:rPr>
          <w:sz w:val="22"/>
          <w:szCs w:val="22"/>
        </w:rPr>
        <w:t xml:space="preserve"> of citizens’ political rights.</w:t>
      </w:r>
      <w:r w:rsidR="00F85F4B">
        <w:rPr>
          <w:sz w:val="22"/>
          <w:szCs w:val="22"/>
        </w:rPr>
        <w:t xml:space="preserve"> </w:t>
      </w:r>
      <w:r w:rsidR="00736D5E">
        <w:rPr>
          <w:sz w:val="22"/>
          <w:szCs w:val="22"/>
        </w:rPr>
        <w:t>Our mandate is</w:t>
      </w:r>
      <w:r w:rsidRPr="002D2B73">
        <w:rPr>
          <w:sz w:val="22"/>
          <w:szCs w:val="22"/>
        </w:rPr>
        <w:t xml:space="preserve"> to contribute to </w:t>
      </w:r>
      <w:r w:rsidR="00736D5E">
        <w:rPr>
          <w:sz w:val="22"/>
          <w:szCs w:val="22"/>
        </w:rPr>
        <w:t xml:space="preserve">the integrity of the </w:t>
      </w:r>
      <w:r w:rsidR="008632B8">
        <w:rPr>
          <w:sz w:val="22"/>
          <w:szCs w:val="22"/>
        </w:rPr>
        <w:t>election</w:t>
      </w:r>
      <w:r w:rsidR="00736D5E">
        <w:rPr>
          <w:sz w:val="22"/>
          <w:szCs w:val="22"/>
        </w:rPr>
        <w:t xml:space="preserve"> </w:t>
      </w:r>
      <w:r w:rsidRPr="002D2B73">
        <w:rPr>
          <w:sz w:val="22"/>
          <w:szCs w:val="22"/>
        </w:rPr>
        <w:t>through scrutinizing the entire electoral process, comparing how practice meets Kenya's</w:t>
      </w:r>
      <w:r w:rsidR="008632B8">
        <w:rPr>
          <w:sz w:val="22"/>
          <w:szCs w:val="22"/>
        </w:rPr>
        <w:t xml:space="preserve"> constitutional and other </w:t>
      </w:r>
      <w:r w:rsidRPr="002D2B73">
        <w:rPr>
          <w:sz w:val="22"/>
          <w:szCs w:val="22"/>
        </w:rPr>
        <w:t xml:space="preserve">legal requirements, commenting on issues </w:t>
      </w:r>
      <w:r w:rsidR="001D08F3">
        <w:rPr>
          <w:sz w:val="22"/>
          <w:szCs w:val="22"/>
        </w:rPr>
        <w:t xml:space="preserve">when </w:t>
      </w:r>
      <w:r w:rsidRPr="002D2B73">
        <w:rPr>
          <w:sz w:val="22"/>
          <w:szCs w:val="22"/>
        </w:rPr>
        <w:t>there is supporting evidence, and making recommendations</w:t>
      </w:r>
      <w:r w:rsidR="00F85F4B">
        <w:rPr>
          <w:sz w:val="22"/>
          <w:szCs w:val="22"/>
        </w:rPr>
        <w:t xml:space="preserve"> for future elections</w:t>
      </w:r>
      <w:r w:rsidRPr="002D2B73">
        <w:rPr>
          <w:sz w:val="22"/>
          <w:szCs w:val="22"/>
        </w:rPr>
        <w:t xml:space="preserve">. </w:t>
      </w:r>
      <w:r w:rsidR="00F85F4B">
        <w:rPr>
          <w:sz w:val="22"/>
          <w:szCs w:val="22"/>
        </w:rPr>
        <w:t xml:space="preserve">The </w:t>
      </w:r>
      <w:r w:rsidRPr="002D2B73">
        <w:rPr>
          <w:sz w:val="22"/>
          <w:szCs w:val="22"/>
        </w:rPr>
        <w:t xml:space="preserve">EU EOM </w:t>
      </w:r>
      <w:r w:rsidR="00B04437">
        <w:rPr>
          <w:sz w:val="22"/>
          <w:szCs w:val="22"/>
        </w:rPr>
        <w:t>was</w:t>
      </w:r>
      <w:r w:rsidR="00B04437" w:rsidRPr="002D2B73">
        <w:rPr>
          <w:sz w:val="22"/>
          <w:szCs w:val="22"/>
        </w:rPr>
        <w:t xml:space="preserve"> </w:t>
      </w:r>
      <w:r w:rsidRPr="002D2B73">
        <w:rPr>
          <w:sz w:val="22"/>
          <w:szCs w:val="22"/>
        </w:rPr>
        <w:t xml:space="preserve">deployed </w:t>
      </w:r>
      <w:r w:rsidR="00B04437">
        <w:rPr>
          <w:sz w:val="22"/>
          <w:szCs w:val="22"/>
        </w:rPr>
        <w:t>at the invitation of Kenyan authorities</w:t>
      </w:r>
      <w:r w:rsidR="001D08F3">
        <w:rPr>
          <w:sz w:val="22"/>
          <w:szCs w:val="22"/>
        </w:rPr>
        <w:t>, and is committed to serving the people of Kenya</w:t>
      </w:r>
      <w:r w:rsidRPr="002D2B73">
        <w:rPr>
          <w:sz w:val="22"/>
          <w:szCs w:val="22"/>
        </w:rPr>
        <w:t>.</w:t>
      </w:r>
    </w:p>
    <w:p w14:paraId="7F553580" w14:textId="77777777" w:rsidR="005320BF" w:rsidRPr="002D2B73" w:rsidRDefault="005320BF" w:rsidP="005320BF">
      <w:pPr>
        <w:rPr>
          <w:sz w:val="22"/>
          <w:szCs w:val="22"/>
        </w:rPr>
      </w:pPr>
    </w:p>
    <w:p w14:paraId="02F270D5" w14:textId="2D8854AC" w:rsidR="005320BF" w:rsidRPr="002D2B73" w:rsidRDefault="005320BF" w:rsidP="005320BF">
      <w:pPr>
        <w:rPr>
          <w:sz w:val="22"/>
          <w:szCs w:val="22"/>
        </w:rPr>
      </w:pPr>
      <w:r w:rsidRPr="002D2B73">
        <w:rPr>
          <w:sz w:val="22"/>
          <w:szCs w:val="22"/>
        </w:rPr>
        <w:t>The EU EOM to Kenya 2017 issued a Preliminary Statement on 10 August, two days after polling, in which we presented findings up to and including the counting of ballots.</w:t>
      </w:r>
      <w:r w:rsidR="008632B8">
        <w:rPr>
          <w:rStyle w:val="FootnoteReference"/>
          <w:sz w:val="22"/>
          <w:szCs w:val="22"/>
        </w:rPr>
        <w:footnoteReference w:id="2"/>
      </w:r>
      <w:r w:rsidRPr="002D2B73">
        <w:rPr>
          <w:sz w:val="22"/>
          <w:szCs w:val="22"/>
        </w:rPr>
        <w:t xml:space="preserve"> Based on these findings, and also later observation of tallying and analysis of available results forms, a number of areas for improvement have been identified </w:t>
      </w:r>
      <w:r w:rsidR="00420DBC">
        <w:rPr>
          <w:sz w:val="22"/>
          <w:szCs w:val="22"/>
        </w:rPr>
        <w:t xml:space="preserve">below </w:t>
      </w:r>
      <w:r w:rsidRPr="002D2B73">
        <w:rPr>
          <w:sz w:val="22"/>
          <w:szCs w:val="22"/>
        </w:rPr>
        <w:t xml:space="preserve">for the re-run. </w:t>
      </w:r>
    </w:p>
    <w:p w14:paraId="543CBFDA" w14:textId="77777777" w:rsidR="00420DBC" w:rsidRPr="002D2B73" w:rsidRDefault="00420DBC" w:rsidP="005320BF">
      <w:pPr>
        <w:rPr>
          <w:sz w:val="22"/>
          <w:szCs w:val="22"/>
        </w:rPr>
      </w:pPr>
    </w:p>
    <w:p w14:paraId="7418194E" w14:textId="12B4EAEE" w:rsidR="005320BF" w:rsidRPr="002D2B73" w:rsidRDefault="005320BF" w:rsidP="005320BF">
      <w:pPr>
        <w:rPr>
          <w:sz w:val="22"/>
          <w:szCs w:val="22"/>
        </w:rPr>
      </w:pPr>
      <w:r w:rsidRPr="002D2B73">
        <w:rPr>
          <w:sz w:val="22"/>
          <w:szCs w:val="22"/>
        </w:rPr>
        <w:t xml:space="preserve">The re-run </w:t>
      </w:r>
      <w:r w:rsidR="001D08F3">
        <w:rPr>
          <w:sz w:val="22"/>
          <w:szCs w:val="22"/>
        </w:rPr>
        <w:t>requires</w:t>
      </w:r>
      <w:r w:rsidRPr="002D2B73">
        <w:rPr>
          <w:sz w:val="22"/>
          <w:szCs w:val="22"/>
        </w:rPr>
        <w:t xml:space="preserve"> the </w:t>
      </w:r>
      <w:r w:rsidRPr="002D2B73">
        <w:rPr>
          <w:color w:val="000000" w:themeColor="text1"/>
          <w:sz w:val="22"/>
          <w:szCs w:val="22"/>
        </w:rPr>
        <w:t>Independent Electoral and Boundaries Commission</w:t>
      </w:r>
      <w:r w:rsidRPr="002D2B73">
        <w:rPr>
          <w:sz w:val="22"/>
          <w:szCs w:val="22"/>
        </w:rPr>
        <w:t xml:space="preserve"> (IEBC), political parties and others to make improvements to the electoral process.</w:t>
      </w:r>
      <w:r w:rsidR="00B04437">
        <w:rPr>
          <w:sz w:val="22"/>
          <w:szCs w:val="22"/>
        </w:rPr>
        <w:t xml:space="preserve"> </w:t>
      </w:r>
      <w:r w:rsidR="009303FC">
        <w:rPr>
          <w:sz w:val="22"/>
          <w:szCs w:val="22"/>
        </w:rPr>
        <w:t>The</w:t>
      </w:r>
      <w:r w:rsidR="00F12DA4">
        <w:rPr>
          <w:sz w:val="22"/>
          <w:szCs w:val="22"/>
        </w:rPr>
        <w:t xml:space="preserve"> EOM</w:t>
      </w:r>
      <w:r w:rsidR="00073A7D">
        <w:rPr>
          <w:sz w:val="22"/>
          <w:szCs w:val="22"/>
        </w:rPr>
        <w:t xml:space="preserve"> also seeks to</w:t>
      </w:r>
      <w:r w:rsidR="00F12DA4">
        <w:rPr>
          <w:sz w:val="22"/>
          <w:szCs w:val="22"/>
        </w:rPr>
        <w:t xml:space="preserve"> </w:t>
      </w:r>
      <w:r w:rsidR="009303FC">
        <w:rPr>
          <w:sz w:val="22"/>
          <w:szCs w:val="22"/>
        </w:rPr>
        <w:t>improv</w:t>
      </w:r>
      <w:r w:rsidR="00073A7D">
        <w:rPr>
          <w:sz w:val="22"/>
          <w:szCs w:val="22"/>
        </w:rPr>
        <w:t>e</w:t>
      </w:r>
      <w:r w:rsidR="009303FC">
        <w:rPr>
          <w:sz w:val="22"/>
          <w:szCs w:val="22"/>
        </w:rPr>
        <w:t xml:space="preserve"> the clarity of its communication, </w:t>
      </w:r>
      <w:r w:rsidR="00073A7D" w:rsidRPr="00073A7D">
        <w:rPr>
          <w:sz w:val="22"/>
          <w:szCs w:val="22"/>
        </w:rPr>
        <w:t xml:space="preserve">and </w:t>
      </w:r>
      <w:r w:rsidR="009303FC" w:rsidRPr="00073A7D">
        <w:rPr>
          <w:sz w:val="22"/>
          <w:szCs w:val="22"/>
        </w:rPr>
        <w:t xml:space="preserve">may therefore release its next Preliminary Statement at a </w:t>
      </w:r>
      <w:r w:rsidR="001D08F3">
        <w:rPr>
          <w:sz w:val="22"/>
          <w:szCs w:val="22"/>
        </w:rPr>
        <w:t>different</w:t>
      </w:r>
      <w:r w:rsidR="001D08F3" w:rsidRPr="00073A7D">
        <w:rPr>
          <w:sz w:val="22"/>
          <w:szCs w:val="22"/>
        </w:rPr>
        <w:t xml:space="preserve"> </w:t>
      </w:r>
      <w:r w:rsidR="009303FC" w:rsidRPr="00073A7D">
        <w:rPr>
          <w:sz w:val="22"/>
          <w:szCs w:val="22"/>
        </w:rPr>
        <w:t>time than is typical practice</w:t>
      </w:r>
      <w:r w:rsidR="00073A7D" w:rsidRPr="00073A7D">
        <w:rPr>
          <w:sz w:val="22"/>
          <w:szCs w:val="22"/>
        </w:rPr>
        <w:t>,</w:t>
      </w:r>
      <w:r w:rsidR="009303FC" w:rsidRPr="00073A7D">
        <w:rPr>
          <w:sz w:val="22"/>
          <w:szCs w:val="22"/>
        </w:rPr>
        <w:t xml:space="preserve"> in order to reflect its </w:t>
      </w:r>
      <w:r w:rsidR="002F1222">
        <w:rPr>
          <w:sz w:val="22"/>
          <w:szCs w:val="22"/>
        </w:rPr>
        <w:t xml:space="preserve">initial </w:t>
      </w:r>
      <w:r w:rsidR="009303FC" w:rsidRPr="00073A7D">
        <w:rPr>
          <w:sz w:val="22"/>
          <w:szCs w:val="22"/>
        </w:rPr>
        <w:t>observation</w:t>
      </w:r>
      <w:r w:rsidR="002F1222">
        <w:rPr>
          <w:sz w:val="22"/>
          <w:szCs w:val="22"/>
        </w:rPr>
        <w:t>s</w:t>
      </w:r>
      <w:r w:rsidR="009303FC" w:rsidRPr="00073A7D">
        <w:rPr>
          <w:sz w:val="22"/>
          <w:szCs w:val="22"/>
        </w:rPr>
        <w:t xml:space="preserve"> of the tallying process. </w:t>
      </w:r>
    </w:p>
    <w:p w14:paraId="5B8FA7F1" w14:textId="77777777" w:rsidR="005320BF" w:rsidRPr="002D2B73" w:rsidRDefault="005320BF" w:rsidP="005320BF">
      <w:pPr>
        <w:rPr>
          <w:sz w:val="22"/>
          <w:szCs w:val="22"/>
        </w:rPr>
      </w:pPr>
    </w:p>
    <w:p w14:paraId="312AA3E4" w14:textId="3A52F91B" w:rsidR="005320BF" w:rsidRPr="002D2B73" w:rsidRDefault="00F85F4B" w:rsidP="005320BF">
      <w:pPr>
        <w:rPr>
          <w:sz w:val="22"/>
          <w:szCs w:val="22"/>
        </w:rPr>
      </w:pPr>
      <w:r w:rsidRPr="001409A0">
        <w:rPr>
          <w:sz w:val="22"/>
          <w:szCs w:val="22"/>
        </w:rPr>
        <w:t xml:space="preserve">The Supreme Court’s full judgment has yet to be published, but </w:t>
      </w:r>
      <w:r w:rsidR="001D08F3" w:rsidRPr="001409A0">
        <w:rPr>
          <w:sz w:val="22"/>
          <w:szCs w:val="22"/>
        </w:rPr>
        <w:t>its ruling</w:t>
      </w:r>
      <w:r w:rsidRPr="001409A0">
        <w:rPr>
          <w:sz w:val="22"/>
          <w:szCs w:val="22"/>
        </w:rPr>
        <w:t xml:space="preserve"> has demonstrated its independence and shown the importance of elections being conducted according to the Constitution</w:t>
      </w:r>
      <w:r w:rsidR="00A122CB" w:rsidRPr="001409A0">
        <w:rPr>
          <w:sz w:val="22"/>
          <w:szCs w:val="22"/>
        </w:rPr>
        <w:t xml:space="preserve"> and the law related to elections</w:t>
      </w:r>
      <w:r w:rsidRPr="001409A0">
        <w:rPr>
          <w:sz w:val="22"/>
          <w:szCs w:val="22"/>
        </w:rPr>
        <w:t xml:space="preserve"> (regardless of the outcome).</w:t>
      </w:r>
      <w:r w:rsidR="008632B8" w:rsidRPr="001409A0">
        <w:rPr>
          <w:sz w:val="22"/>
          <w:szCs w:val="22"/>
        </w:rPr>
        <w:t xml:space="preserve"> We will look into</w:t>
      </w:r>
      <w:r w:rsidRPr="001409A0">
        <w:rPr>
          <w:sz w:val="22"/>
          <w:szCs w:val="22"/>
        </w:rPr>
        <w:t xml:space="preserve"> the details of the Supreme Court's argumentation and assess the implications.</w:t>
      </w:r>
      <w:r w:rsidRPr="002D2B73">
        <w:rPr>
          <w:sz w:val="22"/>
          <w:szCs w:val="22"/>
        </w:rPr>
        <w:t xml:space="preserve"> </w:t>
      </w:r>
    </w:p>
    <w:p w14:paraId="64FEF2F0" w14:textId="77777777" w:rsidR="00087CD4" w:rsidRDefault="00087CD4" w:rsidP="005320BF">
      <w:pPr>
        <w:rPr>
          <w:sz w:val="22"/>
          <w:szCs w:val="22"/>
        </w:rPr>
      </w:pPr>
    </w:p>
    <w:p w14:paraId="23BADA59" w14:textId="77777777" w:rsidR="00087CD4" w:rsidRDefault="00087CD4" w:rsidP="005320BF">
      <w:pPr>
        <w:rPr>
          <w:sz w:val="22"/>
          <w:szCs w:val="22"/>
        </w:rPr>
      </w:pPr>
    </w:p>
    <w:p w14:paraId="4BDE256A" w14:textId="38BD21DF" w:rsidR="005320BF" w:rsidRPr="00F4557F" w:rsidRDefault="005320BF" w:rsidP="005320BF">
      <w:pPr>
        <w:rPr>
          <w:b/>
          <w:sz w:val="22"/>
          <w:szCs w:val="22"/>
        </w:rPr>
      </w:pPr>
      <w:r w:rsidRPr="00F4557F">
        <w:rPr>
          <w:b/>
          <w:sz w:val="22"/>
          <w:szCs w:val="22"/>
        </w:rPr>
        <w:lastRenderedPageBreak/>
        <w:t>18 recommendations are listed below for consideration by national stakeholders.</w:t>
      </w:r>
    </w:p>
    <w:p w14:paraId="244E2734" w14:textId="77777777" w:rsidR="005320BF" w:rsidRPr="002D2B73" w:rsidRDefault="005320BF" w:rsidP="005320BF">
      <w:pPr>
        <w:rPr>
          <w:sz w:val="22"/>
          <w:szCs w:val="22"/>
        </w:rPr>
      </w:pPr>
    </w:p>
    <w:p w14:paraId="6542CB9B" w14:textId="77777777" w:rsidR="005320BF" w:rsidRPr="002D2B73" w:rsidRDefault="005320BF" w:rsidP="005320BF">
      <w:pPr>
        <w:rPr>
          <w:sz w:val="22"/>
          <w:szCs w:val="22"/>
        </w:rPr>
      </w:pPr>
    </w:p>
    <w:p w14:paraId="4E89F1B8" w14:textId="77777777" w:rsidR="005320BF" w:rsidRPr="002D2B73" w:rsidRDefault="005320BF" w:rsidP="005320BF">
      <w:pPr>
        <w:rPr>
          <w:color w:val="000000"/>
          <w:sz w:val="22"/>
          <w:szCs w:val="22"/>
          <w:u w:val="single"/>
        </w:rPr>
      </w:pPr>
      <w:r w:rsidRPr="002D2B73">
        <w:rPr>
          <w:sz w:val="22"/>
          <w:szCs w:val="22"/>
          <w:u w:val="single"/>
        </w:rPr>
        <w:t>For the IEBC:</w:t>
      </w:r>
    </w:p>
    <w:p w14:paraId="1D0AF5B7" w14:textId="77777777" w:rsidR="005320BF" w:rsidRPr="002D2B73" w:rsidRDefault="005320BF" w:rsidP="005320BF">
      <w:pPr>
        <w:rPr>
          <w:color w:val="000000"/>
          <w:sz w:val="22"/>
          <w:szCs w:val="22"/>
        </w:rPr>
      </w:pPr>
    </w:p>
    <w:p w14:paraId="4881271A" w14:textId="0C8E3AE2" w:rsidR="005320BF" w:rsidRPr="002D2B73" w:rsidRDefault="005320BF" w:rsidP="005320BF">
      <w:pPr>
        <w:numPr>
          <w:ilvl w:val="0"/>
          <w:numId w:val="30"/>
        </w:numPr>
        <w:rPr>
          <w:b/>
          <w:i/>
          <w:color w:val="000000"/>
          <w:sz w:val="22"/>
          <w:szCs w:val="22"/>
        </w:rPr>
      </w:pPr>
      <w:r w:rsidRPr="002D2B73">
        <w:rPr>
          <w:b/>
          <w:i/>
          <w:color w:val="000000"/>
          <w:sz w:val="22"/>
          <w:szCs w:val="22"/>
        </w:rPr>
        <w:t xml:space="preserve">Adopt policies and plans for </w:t>
      </w:r>
      <w:r w:rsidR="00051FEF">
        <w:rPr>
          <w:b/>
          <w:i/>
          <w:color w:val="000000"/>
          <w:sz w:val="22"/>
          <w:szCs w:val="22"/>
        </w:rPr>
        <w:t>1</w:t>
      </w:r>
      <w:r w:rsidR="00051FEF" w:rsidRPr="002D2B73">
        <w:rPr>
          <w:b/>
          <w:i/>
          <w:color w:val="000000"/>
          <w:sz w:val="22"/>
          <w:szCs w:val="22"/>
        </w:rPr>
        <w:t xml:space="preserve">) timely reform actions for the re-run </w:t>
      </w:r>
      <w:r w:rsidR="00051FEF">
        <w:rPr>
          <w:b/>
          <w:i/>
          <w:color w:val="000000"/>
          <w:sz w:val="22"/>
          <w:szCs w:val="22"/>
        </w:rPr>
        <w:t>2</w:t>
      </w:r>
      <w:r w:rsidR="00680ACB">
        <w:rPr>
          <w:b/>
          <w:i/>
          <w:color w:val="000000"/>
          <w:sz w:val="22"/>
          <w:szCs w:val="22"/>
        </w:rPr>
        <w:t xml:space="preserve">) </w:t>
      </w:r>
      <w:r w:rsidRPr="002D2B73">
        <w:rPr>
          <w:b/>
          <w:i/>
          <w:color w:val="000000"/>
          <w:sz w:val="22"/>
          <w:szCs w:val="22"/>
        </w:rPr>
        <w:t xml:space="preserve">regular and meaningful stakeholder consultation </w:t>
      </w:r>
      <w:r w:rsidR="00680ACB">
        <w:rPr>
          <w:b/>
          <w:i/>
          <w:color w:val="000000"/>
          <w:sz w:val="22"/>
          <w:szCs w:val="22"/>
        </w:rPr>
        <w:t xml:space="preserve">and 3) </w:t>
      </w:r>
      <w:r w:rsidRPr="002D2B73">
        <w:rPr>
          <w:b/>
          <w:i/>
          <w:color w:val="000000"/>
          <w:sz w:val="22"/>
          <w:szCs w:val="22"/>
        </w:rPr>
        <w:t>frequent comprehens</w:t>
      </w:r>
      <w:r w:rsidR="00680ACB">
        <w:rPr>
          <w:b/>
          <w:i/>
          <w:color w:val="000000"/>
          <w:sz w:val="22"/>
          <w:szCs w:val="22"/>
        </w:rPr>
        <w:t>ive public communication</w:t>
      </w:r>
    </w:p>
    <w:p w14:paraId="1DC5DE13" w14:textId="77777777" w:rsidR="005320BF" w:rsidRPr="002D2B73" w:rsidRDefault="005320BF" w:rsidP="005320BF">
      <w:pPr>
        <w:ind w:left="360"/>
        <w:rPr>
          <w:b/>
          <w:i/>
          <w:color w:val="000000"/>
          <w:sz w:val="22"/>
          <w:szCs w:val="22"/>
        </w:rPr>
      </w:pPr>
    </w:p>
    <w:p w14:paraId="3CCBB6E3" w14:textId="77777777" w:rsidR="00051FEF" w:rsidRDefault="00051FEF" w:rsidP="00051FEF">
      <w:pPr>
        <w:ind w:left="360"/>
        <w:rPr>
          <w:color w:val="000000"/>
          <w:sz w:val="22"/>
          <w:szCs w:val="22"/>
        </w:rPr>
      </w:pPr>
      <w:r w:rsidRPr="002D2B73">
        <w:rPr>
          <w:color w:val="000000"/>
          <w:sz w:val="22"/>
          <w:szCs w:val="22"/>
        </w:rPr>
        <w:t>IEBC reform actions are essential for demonstrating compliance with the constitutional requirements for the electoral process to be “</w:t>
      </w:r>
      <w:r w:rsidRPr="002D2B73">
        <w:rPr>
          <w:i/>
          <w:color w:val="000000"/>
          <w:sz w:val="22"/>
          <w:szCs w:val="22"/>
        </w:rPr>
        <w:t>simple, accurate, verifiable, secure, accountable and transparent”</w:t>
      </w:r>
      <w:r w:rsidRPr="002D2B73">
        <w:rPr>
          <w:color w:val="000000"/>
          <w:sz w:val="22"/>
          <w:szCs w:val="22"/>
        </w:rPr>
        <w:t>.</w:t>
      </w:r>
      <w:r w:rsidRPr="002D2B73">
        <w:rPr>
          <w:rStyle w:val="FootnoteReference"/>
          <w:color w:val="000000"/>
          <w:sz w:val="22"/>
          <w:szCs w:val="22"/>
        </w:rPr>
        <w:footnoteReference w:id="3"/>
      </w:r>
      <w:r w:rsidRPr="002D2B73">
        <w:rPr>
          <w:color w:val="000000"/>
          <w:sz w:val="22"/>
          <w:szCs w:val="22"/>
        </w:rPr>
        <w:t xml:space="preserve"> Stronger substantial compliance with these principles needs to be planned and agreed with stakeholders and demonstrated to the public.</w:t>
      </w:r>
      <w:r>
        <w:rPr>
          <w:color w:val="000000"/>
          <w:sz w:val="22"/>
          <w:szCs w:val="22"/>
        </w:rPr>
        <w:t xml:space="preserve"> This is necessary for raising confidence in the electoral process and the wider democratic system.</w:t>
      </w:r>
    </w:p>
    <w:p w14:paraId="5BF2C78A" w14:textId="77777777" w:rsidR="00051FEF" w:rsidRPr="002D2B73" w:rsidRDefault="00051FEF" w:rsidP="00051FEF">
      <w:pPr>
        <w:ind w:left="360"/>
        <w:rPr>
          <w:color w:val="000000"/>
          <w:sz w:val="22"/>
          <w:szCs w:val="22"/>
        </w:rPr>
      </w:pPr>
    </w:p>
    <w:p w14:paraId="4AE53945" w14:textId="156F19C0" w:rsidR="005320BF" w:rsidRPr="002D2B73" w:rsidRDefault="005320BF" w:rsidP="005320BF">
      <w:pPr>
        <w:ind w:left="360"/>
        <w:rPr>
          <w:color w:val="000000"/>
          <w:sz w:val="22"/>
          <w:szCs w:val="22"/>
        </w:rPr>
      </w:pPr>
      <w:r w:rsidRPr="002D2B73">
        <w:rPr>
          <w:sz w:val="22"/>
          <w:szCs w:val="22"/>
        </w:rPr>
        <w:t>The EU EOM noted in its Preliminary Statement that “</w:t>
      </w:r>
      <w:r w:rsidRPr="002D2B73">
        <w:rPr>
          <w:i/>
          <w:sz w:val="22"/>
          <w:szCs w:val="22"/>
        </w:rPr>
        <w:t>Despite its efforts, including in mainstream and social media, the IEBC’s communication lacked structure, consistency and depth at times</w:t>
      </w:r>
      <w:r w:rsidRPr="002D2B73">
        <w:rPr>
          <w:sz w:val="22"/>
          <w:szCs w:val="22"/>
        </w:rPr>
        <w:t>.” Also that “</w:t>
      </w:r>
      <w:r w:rsidRPr="002D2B73">
        <w:rPr>
          <w:i/>
          <w:color w:val="000000"/>
          <w:sz w:val="22"/>
          <w:szCs w:val="22"/>
        </w:rPr>
        <w:t>sufficient mechanisms for routine stakeholder consultation has been lacking</w:t>
      </w:r>
      <w:r w:rsidRPr="002D2B73">
        <w:rPr>
          <w:color w:val="000000"/>
          <w:sz w:val="22"/>
          <w:szCs w:val="22"/>
        </w:rPr>
        <w:t>.”</w:t>
      </w:r>
      <w:r w:rsidRPr="002D2B73">
        <w:rPr>
          <w:rStyle w:val="FootnoteReference"/>
          <w:color w:val="000000"/>
          <w:sz w:val="22"/>
          <w:szCs w:val="22"/>
        </w:rPr>
        <w:footnoteReference w:id="4"/>
      </w:r>
      <w:r w:rsidRPr="002D2B73">
        <w:rPr>
          <w:color w:val="000000"/>
          <w:sz w:val="22"/>
          <w:szCs w:val="22"/>
        </w:rPr>
        <w:t xml:space="preserve"> Consultation provides for increased generation of ideas</w:t>
      </w:r>
      <w:r w:rsidR="005B5C2B">
        <w:rPr>
          <w:color w:val="000000"/>
          <w:sz w:val="22"/>
          <w:szCs w:val="22"/>
        </w:rPr>
        <w:t xml:space="preserve"> and</w:t>
      </w:r>
      <w:r w:rsidRPr="002D2B73">
        <w:rPr>
          <w:color w:val="000000"/>
          <w:sz w:val="22"/>
          <w:szCs w:val="22"/>
        </w:rPr>
        <w:t xml:space="preserve"> </w:t>
      </w:r>
      <w:r w:rsidR="00706CB9">
        <w:rPr>
          <w:color w:val="000000"/>
          <w:sz w:val="22"/>
          <w:szCs w:val="22"/>
        </w:rPr>
        <w:t xml:space="preserve">stronger </w:t>
      </w:r>
      <w:r w:rsidRPr="002D2B73">
        <w:rPr>
          <w:color w:val="000000"/>
          <w:sz w:val="22"/>
          <w:szCs w:val="22"/>
        </w:rPr>
        <w:t xml:space="preserve">stakeholder commitment to the process. Public communication allows stakeholders to understand the process, including any difficulties, thereby reducing the risk of </w:t>
      </w:r>
      <w:r w:rsidR="00051FEF">
        <w:rPr>
          <w:color w:val="000000"/>
          <w:sz w:val="22"/>
          <w:szCs w:val="22"/>
        </w:rPr>
        <w:t>challenges</w:t>
      </w:r>
      <w:r w:rsidR="005B5C2B">
        <w:rPr>
          <w:color w:val="000000"/>
          <w:sz w:val="22"/>
          <w:szCs w:val="22"/>
        </w:rPr>
        <w:t xml:space="preserve"> and disputes</w:t>
      </w:r>
      <w:r w:rsidR="00051FEF">
        <w:rPr>
          <w:color w:val="000000"/>
          <w:sz w:val="22"/>
          <w:szCs w:val="22"/>
        </w:rPr>
        <w:t>.</w:t>
      </w:r>
    </w:p>
    <w:p w14:paraId="1D62D227" w14:textId="77777777" w:rsidR="005320BF" w:rsidRPr="002D2B73" w:rsidRDefault="005320BF" w:rsidP="005320BF">
      <w:pPr>
        <w:rPr>
          <w:color w:val="000000"/>
          <w:sz w:val="22"/>
          <w:szCs w:val="22"/>
        </w:rPr>
      </w:pPr>
    </w:p>
    <w:p w14:paraId="6838E032" w14:textId="48FFF9BB" w:rsidR="005320BF" w:rsidRPr="002D2B73" w:rsidRDefault="005320BF" w:rsidP="005320BF">
      <w:pPr>
        <w:numPr>
          <w:ilvl w:val="0"/>
          <w:numId w:val="30"/>
        </w:numPr>
        <w:rPr>
          <w:b/>
          <w:i/>
          <w:color w:val="000000"/>
          <w:sz w:val="22"/>
          <w:szCs w:val="22"/>
        </w:rPr>
      </w:pPr>
      <w:r w:rsidRPr="002D2B73">
        <w:rPr>
          <w:b/>
          <w:i/>
          <w:color w:val="000000"/>
          <w:sz w:val="22"/>
          <w:szCs w:val="22"/>
        </w:rPr>
        <w:t xml:space="preserve">Develop more detailed </w:t>
      </w:r>
      <w:r w:rsidR="002F1222">
        <w:rPr>
          <w:b/>
          <w:i/>
          <w:color w:val="000000"/>
          <w:sz w:val="22"/>
          <w:szCs w:val="22"/>
        </w:rPr>
        <w:t xml:space="preserve">and transparent </w:t>
      </w:r>
      <w:r w:rsidRPr="002D2B73">
        <w:rPr>
          <w:b/>
          <w:i/>
          <w:color w:val="000000"/>
          <w:sz w:val="22"/>
          <w:szCs w:val="22"/>
        </w:rPr>
        <w:t xml:space="preserve">procedures for the counting, tallying and results transmission processes (including </w:t>
      </w:r>
      <w:r w:rsidR="00AC2E0E">
        <w:rPr>
          <w:b/>
          <w:i/>
          <w:color w:val="000000"/>
          <w:sz w:val="22"/>
          <w:szCs w:val="22"/>
        </w:rPr>
        <w:t xml:space="preserve">scanning and </w:t>
      </w:r>
      <w:r w:rsidRPr="002D2B73">
        <w:rPr>
          <w:b/>
          <w:i/>
          <w:color w:val="000000"/>
          <w:sz w:val="22"/>
          <w:szCs w:val="22"/>
        </w:rPr>
        <w:t xml:space="preserve">the </w:t>
      </w:r>
      <w:r w:rsidR="005B5C2B">
        <w:rPr>
          <w:b/>
          <w:i/>
          <w:color w:val="000000"/>
          <w:sz w:val="22"/>
          <w:szCs w:val="22"/>
        </w:rPr>
        <w:t>“</w:t>
      </w:r>
      <w:r w:rsidRPr="002D2B73">
        <w:rPr>
          <w:b/>
          <w:i/>
          <w:color w:val="000000"/>
          <w:sz w:val="22"/>
          <w:szCs w:val="22"/>
        </w:rPr>
        <w:t>complementary mechanisms</w:t>
      </w:r>
      <w:r w:rsidR="005B5C2B">
        <w:rPr>
          <w:b/>
          <w:i/>
          <w:color w:val="000000"/>
          <w:sz w:val="22"/>
          <w:szCs w:val="22"/>
        </w:rPr>
        <w:t>”</w:t>
      </w:r>
      <w:r w:rsidRPr="002D2B73">
        <w:rPr>
          <w:b/>
          <w:i/>
          <w:color w:val="000000"/>
          <w:sz w:val="22"/>
          <w:szCs w:val="22"/>
        </w:rPr>
        <w:t xml:space="preserve"> to be used</w:t>
      </w:r>
      <w:r w:rsidR="005B5C2B">
        <w:rPr>
          <w:b/>
          <w:i/>
          <w:color w:val="000000"/>
          <w:sz w:val="22"/>
          <w:szCs w:val="22"/>
        </w:rPr>
        <w:t xml:space="preserve"> in case of technology failure</w:t>
      </w:r>
      <w:r w:rsidRPr="002D2B73">
        <w:rPr>
          <w:b/>
          <w:i/>
          <w:color w:val="000000"/>
          <w:sz w:val="22"/>
          <w:szCs w:val="22"/>
        </w:rPr>
        <w:t>)</w:t>
      </w:r>
      <w:r w:rsidR="007E65A4">
        <w:rPr>
          <w:b/>
          <w:i/>
          <w:color w:val="000000"/>
          <w:sz w:val="22"/>
          <w:szCs w:val="22"/>
        </w:rPr>
        <w:t>. M</w:t>
      </w:r>
      <w:r w:rsidRPr="002D2B73">
        <w:rPr>
          <w:b/>
          <w:i/>
          <w:color w:val="000000"/>
          <w:sz w:val="22"/>
          <w:szCs w:val="22"/>
        </w:rPr>
        <w:t>ake these publicly available</w:t>
      </w:r>
      <w:r w:rsidR="002F1222">
        <w:rPr>
          <w:b/>
          <w:i/>
          <w:color w:val="000000"/>
          <w:sz w:val="22"/>
          <w:szCs w:val="22"/>
        </w:rPr>
        <w:t xml:space="preserve"> ahead of the election</w:t>
      </w:r>
      <w:r w:rsidRPr="002D2B73">
        <w:rPr>
          <w:b/>
          <w:i/>
          <w:color w:val="000000"/>
          <w:sz w:val="22"/>
          <w:szCs w:val="22"/>
        </w:rPr>
        <w:t>, and train staff accordingly with clear</w:t>
      </w:r>
      <w:r w:rsidR="00051FEF">
        <w:rPr>
          <w:b/>
          <w:i/>
          <w:color w:val="000000"/>
          <w:sz w:val="22"/>
          <w:szCs w:val="22"/>
        </w:rPr>
        <w:t>, unequivocal</w:t>
      </w:r>
      <w:r w:rsidRPr="002D2B73">
        <w:rPr>
          <w:b/>
          <w:i/>
          <w:color w:val="000000"/>
          <w:sz w:val="22"/>
          <w:szCs w:val="22"/>
        </w:rPr>
        <w:t xml:space="preserve"> written instructions</w:t>
      </w:r>
    </w:p>
    <w:p w14:paraId="68FDD213" w14:textId="77777777" w:rsidR="005320BF" w:rsidRPr="002D2B73" w:rsidRDefault="005320BF" w:rsidP="005320BF">
      <w:pPr>
        <w:ind w:left="360"/>
        <w:rPr>
          <w:b/>
          <w:i/>
          <w:color w:val="000000"/>
          <w:sz w:val="22"/>
          <w:szCs w:val="22"/>
        </w:rPr>
      </w:pPr>
    </w:p>
    <w:p w14:paraId="6C712307" w14:textId="075AC258" w:rsidR="005320BF" w:rsidRPr="007E65A4" w:rsidRDefault="005320BF" w:rsidP="005320BF">
      <w:pPr>
        <w:ind w:left="360"/>
        <w:rPr>
          <w:color w:val="000000"/>
          <w:sz w:val="22"/>
          <w:szCs w:val="22"/>
        </w:rPr>
      </w:pPr>
      <w:r w:rsidRPr="007E65A4">
        <w:rPr>
          <w:sz w:val="22"/>
          <w:szCs w:val="22"/>
        </w:rPr>
        <w:t>The EU EOM noted in its Preliminary Statement that</w:t>
      </w:r>
      <w:r w:rsidR="00C52642" w:rsidRPr="007E65A4">
        <w:rPr>
          <w:sz w:val="22"/>
          <w:szCs w:val="22"/>
        </w:rPr>
        <w:t xml:space="preserve"> “</w:t>
      </w:r>
      <w:r w:rsidR="00167E35" w:rsidRPr="007E65A4">
        <w:rPr>
          <w:i/>
          <w:color w:val="000000"/>
          <w:sz w:val="22"/>
          <w:szCs w:val="22"/>
        </w:rPr>
        <w:t>v</w:t>
      </w:r>
      <w:r w:rsidR="00C52642" w:rsidRPr="007E65A4">
        <w:rPr>
          <w:i/>
          <w:color w:val="000000"/>
          <w:sz w:val="22"/>
          <w:szCs w:val="22"/>
        </w:rPr>
        <w:t>oting procedures were generally well implemented</w:t>
      </w:r>
      <w:r w:rsidR="00C52642" w:rsidRPr="007E65A4">
        <w:rPr>
          <w:color w:val="000000"/>
          <w:sz w:val="22"/>
          <w:szCs w:val="22"/>
        </w:rPr>
        <w:t>”. However it also noted</w:t>
      </w:r>
      <w:r w:rsidRPr="007E65A4">
        <w:rPr>
          <w:sz w:val="22"/>
          <w:szCs w:val="22"/>
        </w:rPr>
        <w:t xml:space="preserve"> “</w:t>
      </w:r>
      <w:r w:rsidRPr="007E65A4">
        <w:rPr>
          <w:i/>
          <w:sz w:val="22"/>
          <w:szCs w:val="22"/>
        </w:rPr>
        <w:t xml:space="preserve">there was a delay in development of final procedures for the high technology aspects of the election. Biometric voter identification and electronic results transmission, as well as </w:t>
      </w:r>
      <w:r w:rsidRPr="007E65A4">
        <w:rPr>
          <w:i/>
          <w:color w:val="000000"/>
          <w:sz w:val="22"/>
          <w:szCs w:val="22"/>
        </w:rPr>
        <w:t>some procedures, lacked detail</w:t>
      </w:r>
      <w:r w:rsidRPr="007E65A4">
        <w:rPr>
          <w:i/>
          <w:sz w:val="22"/>
          <w:szCs w:val="22"/>
        </w:rPr>
        <w:t xml:space="preserve">. </w:t>
      </w:r>
      <w:r w:rsidRPr="007E65A4">
        <w:rPr>
          <w:i/>
          <w:color w:val="000000"/>
          <w:sz w:val="22"/>
          <w:szCs w:val="22"/>
        </w:rPr>
        <w:t xml:space="preserve">The needed procedures were for the most part only provided after training had started and manuals had been printed.” </w:t>
      </w:r>
      <w:r w:rsidRPr="007E65A4">
        <w:rPr>
          <w:color w:val="000000"/>
          <w:sz w:val="22"/>
          <w:szCs w:val="22"/>
        </w:rPr>
        <w:t>The need for clear complementary mechanisms in case of technology failure is also evident.</w:t>
      </w:r>
    </w:p>
    <w:p w14:paraId="4B59B49C" w14:textId="77777777" w:rsidR="005320BF" w:rsidRPr="002D2B73" w:rsidRDefault="005320BF" w:rsidP="005320BF">
      <w:pPr>
        <w:ind w:left="360"/>
        <w:rPr>
          <w:color w:val="000000"/>
          <w:sz w:val="22"/>
          <w:szCs w:val="22"/>
        </w:rPr>
      </w:pPr>
    </w:p>
    <w:p w14:paraId="4B72A242" w14:textId="426248F5" w:rsidR="005320BF" w:rsidRPr="002D2B73" w:rsidRDefault="005320BF" w:rsidP="005320BF">
      <w:pPr>
        <w:ind w:left="360"/>
        <w:rPr>
          <w:color w:val="000000"/>
          <w:sz w:val="22"/>
          <w:szCs w:val="22"/>
        </w:rPr>
      </w:pPr>
      <w:r w:rsidRPr="002D2B73">
        <w:rPr>
          <w:color w:val="000000"/>
          <w:sz w:val="22"/>
          <w:szCs w:val="22"/>
        </w:rPr>
        <w:t>The EU EOM examined a sample of 1,558 randomly selected scanned polling station results forms (34As) from 82 constituencies</w:t>
      </w:r>
      <w:r w:rsidR="00AC2E0E">
        <w:rPr>
          <w:color w:val="000000"/>
          <w:sz w:val="22"/>
          <w:szCs w:val="22"/>
        </w:rPr>
        <w:t xml:space="preserve"> (up to a maximum of 20 per constituency covered by EU EOM long-term observers)</w:t>
      </w:r>
      <w:r w:rsidRPr="002D2B73">
        <w:rPr>
          <w:color w:val="000000"/>
          <w:sz w:val="22"/>
          <w:szCs w:val="22"/>
        </w:rPr>
        <w:t xml:space="preserve">. This showed that further </w:t>
      </w:r>
      <w:r w:rsidR="00706CB9">
        <w:rPr>
          <w:color w:val="000000"/>
          <w:sz w:val="22"/>
          <w:szCs w:val="22"/>
        </w:rPr>
        <w:t xml:space="preserve">adjustments and/or </w:t>
      </w:r>
      <w:r w:rsidRPr="002D2B73">
        <w:rPr>
          <w:color w:val="000000"/>
          <w:sz w:val="22"/>
          <w:szCs w:val="22"/>
        </w:rPr>
        <w:t xml:space="preserve">training is needed on scan quality. In 18% of the EU EOM sample, the forms were only </w:t>
      </w:r>
      <w:r w:rsidRPr="002D2B73">
        <w:rPr>
          <w:sz w:val="22"/>
          <w:szCs w:val="22"/>
        </w:rPr>
        <w:t xml:space="preserve">partially readable and in 5%, the forms were not readable at all. </w:t>
      </w:r>
      <w:r w:rsidRPr="002D2B73">
        <w:rPr>
          <w:color w:val="000000"/>
          <w:sz w:val="22"/>
          <w:szCs w:val="22"/>
        </w:rPr>
        <w:t xml:space="preserve">Some difficulties in completing forms were also evident, for both polling station results (form 34A) and constituency tallies (form 34B). In the sample examined </w:t>
      </w:r>
      <w:r w:rsidRPr="002D2B73">
        <w:rPr>
          <w:sz w:val="22"/>
          <w:szCs w:val="22"/>
        </w:rPr>
        <w:t>there were some signs of mathematical anomalies in 2.3% of cases, altered figures of some sort in 3%, and missing data in 3%. Overall,</w:t>
      </w:r>
      <w:r w:rsidRPr="002D2B73">
        <w:rPr>
          <w:color w:val="000000"/>
          <w:sz w:val="22"/>
          <w:szCs w:val="22"/>
        </w:rPr>
        <w:t xml:space="preserve"> </w:t>
      </w:r>
      <w:r w:rsidRPr="002D2B73">
        <w:rPr>
          <w:sz w:val="22"/>
          <w:szCs w:val="22"/>
        </w:rPr>
        <w:t>1% of sampled 34As were not signed by presiding officers.</w:t>
      </w:r>
      <w:r w:rsidRPr="002D2B73">
        <w:rPr>
          <w:color w:val="000000"/>
          <w:sz w:val="22"/>
          <w:szCs w:val="22"/>
        </w:rPr>
        <w:t xml:space="preserve"> I</w:t>
      </w:r>
      <w:r w:rsidRPr="002D2B73">
        <w:rPr>
          <w:sz w:val="22"/>
          <w:szCs w:val="22"/>
        </w:rPr>
        <w:t xml:space="preserve">n the transcribing of polling station results onto constituency tally sheets (34Bs), small differences in numbers were found in some cases. In the forms examined there was little variation </w:t>
      </w:r>
      <w:r w:rsidR="0060037C">
        <w:rPr>
          <w:sz w:val="22"/>
          <w:szCs w:val="22"/>
        </w:rPr>
        <w:t xml:space="preserve">in the patterns of anomalies/errors </w:t>
      </w:r>
      <w:r w:rsidRPr="002D2B73">
        <w:rPr>
          <w:sz w:val="22"/>
          <w:szCs w:val="22"/>
        </w:rPr>
        <w:t>between strongholds/swing constituencies, and no obvious advantage to one camp or another.</w:t>
      </w:r>
    </w:p>
    <w:p w14:paraId="06E3F99C" w14:textId="77777777" w:rsidR="005320BF" w:rsidRPr="002D2B73" w:rsidRDefault="005320BF" w:rsidP="006B23E0">
      <w:pPr>
        <w:rPr>
          <w:color w:val="000000"/>
          <w:sz w:val="22"/>
          <w:szCs w:val="22"/>
        </w:rPr>
      </w:pPr>
    </w:p>
    <w:p w14:paraId="72EB7AC2" w14:textId="6D041D7B" w:rsidR="005320BF" w:rsidRPr="00A34DDC" w:rsidRDefault="005320BF" w:rsidP="002D2B73">
      <w:pPr>
        <w:numPr>
          <w:ilvl w:val="0"/>
          <w:numId w:val="30"/>
        </w:numPr>
        <w:rPr>
          <w:b/>
          <w:i/>
          <w:color w:val="000000"/>
          <w:sz w:val="22"/>
          <w:szCs w:val="22"/>
        </w:rPr>
      </w:pPr>
      <w:r w:rsidRPr="00A34DDC">
        <w:rPr>
          <w:b/>
          <w:i/>
          <w:color w:val="000000"/>
          <w:sz w:val="22"/>
          <w:szCs w:val="22"/>
        </w:rPr>
        <w:t xml:space="preserve">Improve the results transmission software and </w:t>
      </w:r>
      <w:r w:rsidRPr="009A18F6">
        <w:rPr>
          <w:b/>
          <w:i/>
          <w:color w:val="000000"/>
          <w:sz w:val="22"/>
          <w:szCs w:val="22"/>
        </w:rPr>
        <w:t>network selection provision</w:t>
      </w:r>
      <w:r w:rsidRPr="00A34DDC">
        <w:rPr>
          <w:b/>
          <w:i/>
          <w:color w:val="000000"/>
          <w:sz w:val="22"/>
          <w:szCs w:val="22"/>
        </w:rPr>
        <w:t>, so that 34A polling station results forms are reliably sent through the KIEMS</w:t>
      </w:r>
    </w:p>
    <w:p w14:paraId="4ED1614E" w14:textId="77777777" w:rsidR="005320BF" w:rsidRPr="00706CB9" w:rsidRDefault="005320BF" w:rsidP="002D2B73">
      <w:pPr>
        <w:rPr>
          <w:b/>
          <w:i/>
          <w:sz w:val="22"/>
          <w:szCs w:val="22"/>
        </w:rPr>
      </w:pPr>
    </w:p>
    <w:p w14:paraId="518EDEDA" w14:textId="1F56E4F9" w:rsidR="005320BF" w:rsidRPr="002D2B73" w:rsidRDefault="008716BA" w:rsidP="002D2B73">
      <w:pPr>
        <w:ind w:left="360"/>
        <w:rPr>
          <w:i/>
          <w:color w:val="000000"/>
          <w:sz w:val="22"/>
          <w:szCs w:val="22"/>
        </w:rPr>
      </w:pPr>
      <w:r>
        <w:rPr>
          <w:sz w:val="22"/>
          <w:szCs w:val="22"/>
        </w:rPr>
        <w:t>S</w:t>
      </w:r>
      <w:r w:rsidR="005320BF" w:rsidRPr="002D2B73">
        <w:rPr>
          <w:sz w:val="22"/>
          <w:szCs w:val="22"/>
        </w:rPr>
        <w:t>ome 30,000 scanned 34A forms out of 40,883 were transmitted on election night using the KIEMS, and were published on 9 August on a public portal.</w:t>
      </w:r>
      <w:r w:rsidR="005320BF" w:rsidRPr="002D2B73">
        <w:rPr>
          <w:rStyle w:val="FootnoteReference"/>
          <w:sz w:val="22"/>
          <w:szCs w:val="22"/>
        </w:rPr>
        <w:footnoteReference w:id="5"/>
      </w:r>
      <w:r w:rsidR="005320BF" w:rsidRPr="002D2B73">
        <w:rPr>
          <w:sz w:val="22"/>
          <w:szCs w:val="22"/>
        </w:rPr>
        <w:t xml:space="preserve"> The remaining 34As could not be transmitted from polling stations, principally for reasons of network coverage and configuration of the results transmission software.</w:t>
      </w:r>
      <w:r w:rsidR="00706CB9">
        <w:rPr>
          <w:rStyle w:val="FootnoteReference"/>
          <w:sz w:val="22"/>
          <w:szCs w:val="22"/>
        </w:rPr>
        <w:footnoteReference w:id="6"/>
      </w:r>
      <w:r w:rsidR="005320BF" w:rsidRPr="002D2B73">
        <w:rPr>
          <w:sz w:val="22"/>
          <w:szCs w:val="22"/>
        </w:rPr>
        <w:t xml:space="preserve"> </w:t>
      </w:r>
      <w:r w:rsidR="005320BF" w:rsidRPr="002D2B73">
        <w:rPr>
          <w:color w:val="000000"/>
          <w:sz w:val="22"/>
          <w:szCs w:val="22"/>
        </w:rPr>
        <w:t>EU EOM observers noted that sometimes “</w:t>
      </w:r>
      <w:r w:rsidR="005320BF" w:rsidRPr="002D2B73">
        <w:rPr>
          <w:i/>
          <w:sz w:val="22"/>
          <w:szCs w:val="22"/>
        </w:rPr>
        <w:t>KIEMS were not operational for transmission of results”</w:t>
      </w:r>
      <w:r w:rsidR="005320BF" w:rsidRPr="002D2B73">
        <w:rPr>
          <w:sz w:val="22"/>
          <w:szCs w:val="22"/>
        </w:rPr>
        <w:t>.</w:t>
      </w:r>
      <w:r w:rsidR="005320BF" w:rsidRPr="002D2B73">
        <w:rPr>
          <w:rStyle w:val="FootnoteReference"/>
          <w:sz w:val="22"/>
          <w:szCs w:val="22"/>
        </w:rPr>
        <w:footnoteReference w:id="7"/>
      </w:r>
      <w:r w:rsidR="005320BF" w:rsidRPr="002D2B73">
        <w:rPr>
          <w:sz w:val="22"/>
          <w:szCs w:val="22"/>
        </w:rPr>
        <w:t xml:space="preserve"> This, and a lack of subsequent efficiency in sending 34A scans, resulted in polling station results not being available online for checking by all stakeholders until after the petitions process (see below). While </w:t>
      </w:r>
      <w:r w:rsidR="00822C73">
        <w:rPr>
          <w:sz w:val="22"/>
          <w:szCs w:val="22"/>
        </w:rPr>
        <w:t xml:space="preserve">in principle </w:t>
      </w:r>
      <w:r w:rsidR="005320BF" w:rsidRPr="002D2B73">
        <w:rPr>
          <w:sz w:val="22"/>
          <w:szCs w:val="22"/>
        </w:rPr>
        <w:t xml:space="preserve">contestants had access to results at lower levels through their agents, the lack of availability of detailed results at the national level compromised independent scrutiny and </w:t>
      </w:r>
      <w:r w:rsidR="00C36BDA">
        <w:rPr>
          <w:sz w:val="22"/>
          <w:szCs w:val="22"/>
        </w:rPr>
        <w:t>intensified</w:t>
      </w:r>
      <w:r w:rsidR="00C36BDA" w:rsidRPr="002D2B73">
        <w:rPr>
          <w:sz w:val="22"/>
          <w:szCs w:val="22"/>
        </w:rPr>
        <w:t xml:space="preserve"> </w:t>
      </w:r>
      <w:r w:rsidR="005320BF" w:rsidRPr="002D2B73">
        <w:rPr>
          <w:sz w:val="22"/>
          <w:szCs w:val="22"/>
        </w:rPr>
        <w:t xml:space="preserve">mistrust of the process. Therefore, a review of network coverage options </w:t>
      </w:r>
      <w:r w:rsidR="00106B80">
        <w:rPr>
          <w:sz w:val="22"/>
          <w:szCs w:val="22"/>
        </w:rPr>
        <w:t xml:space="preserve">and </w:t>
      </w:r>
      <w:r w:rsidR="00106B80" w:rsidRPr="00106B80">
        <w:rPr>
          <w:sz w:val="22"/>
          <w:szCs w:val="22"/>
          <w:lang w:val="en-US"/>
        </w:rPr>
        <w:t xml:space="preserve">alternative transmission options such as </w:t>
      </w:r>
      <w:r w:rsidR="0055005B">
        <w:rPr>
          <w:sz w:val="22"/>
          <w:szCs w:val="22"/>
          <w:lang w:val="en-US"/>
        </w:rPr>
        <w:t xml:space="preserve">the planned use of </w:t>
      </w:r>
      <w:r w:rsidR="00106B80" w:rsidRPr="00106B80">
        <w:rPr>
          <w:sz w:val="22"/>
          <w:szCs w:val="22"/>
          <w:lang w:val="en-US"/>
        </w:rPr>
        <w:t>satellite phones</w:t>
      </w:r>
      <w:r w:rsidR="00106B80">
        <w:rPr>
          <w:sz w:val="22"/>
          <w:szCs w:val="22"/>
          <w:lang w:val="en-US"/>
        </w:rPr>
        <w:t>, as well as</w:t>
      </w:r>
      <w:r w:rsidR="005320BF" w:rsidRPr="002D2B73">
        <w:rPr>
          <w:sz w:val="22"/>
          <w:szCs w:val="22"/>
        </w:rPr>
        <w:t xml:space="preserve"> software configuration</w:t>
      </w:r>
      <w:r w:rsidR="00106B80">
        <w:rPr>
          <w:sz w:val="22"/>
          <w:szCs w:val="22"/>
        </w:rPr>
        <w:t>,</w:t>
      </w:r>
      <w:r w:rsidR="007E65A4">
        <w:rPr>
          <w:sz w:val="22"/>
          <w:szCs w:val="22"/>
        </w:rPr>
        <w:t xml:space="preserve"> is warranted to provide for 34A</w:t>
      </w:r>
      <w:r w:rsidR="005320BF" w:rsidRPr="002D2B73">
        <w:rPr>
          <w:sz w:val="22"/>
          <w:szCs w:val="22"/>
        </w:rPr>
        <w:t>s being sent from KIEMS from polling stations where possible, and if not, then from constituency tallying centres.</w:t>
      </w:r>
    </w:p>
    <w:p w14:paraId="4D6FBACF" w14:textId="77777777" w:rsidR="002D2B73" w:rsidRPr="006B23E0" w:rsidRDefault="002D2B73" w:rsidP="006B23E0">
      <w:pPr>
        <w:rPr>
          <w:bCs/>
          <w:color w:val="000000"/>
          <w:sz w:val="22"/>
          <w:szCs w:val="22"/>
        </w:rPr>
      </w:pPr>
    </w:p>
    <w:p w14:paraId="3D9AEAD2" w14:textId="646248C2" w:rsidR="005320BF" w:rsidRPr="002D2B73" w:rsidRDefault="00450D05" w:rsidP="002D2B73">
      <w:pPr>
        <w:numPr>
          <w:ilvl w:val="0"/>
          <w:numId w:val="30"/>
        </w:numPr>
        <w:rPr>
          <w:b/>
          <w:i/>
          <w:color w:val="000000"/>
          <w:sz w:val="22"/>
          <w:szCs w:val="22"/>
        </w:rPr>
      </w:pPr>
      <w:r>
        <w:rPr>
          <w:b/>
          <w:i/>
          <w:color w:val="000000"/>
          <w:sz w:val="22"/>
          <w:szCs w:val="22"/>
        </w:rPr>
        <w:t>Arrange for c</w:t>
      </w:r>
      <w:r w:rsidR="005320BF" w:rsidRPr="002D2B73">
        <w:rPr>
          <w:b/>
          <w:i/>
          <w:color w:val="000000"/>
          <w:sz w:val="22"/>
          <w:szCs w:val="22"/>
        </w:rPr>
        <w:t>onstituency tallying centres</w:t>
      </w:r>
      <w:r>
        <w:rPr>
          <w:b/>
          <w:i/>
          <w:color w:val="000000"/>
          <w:sz w:val="22"/>
          <w:szCs w:val="22"/>
        </w:rPr>
        <w:t xml:space="preserve"> to</w:t>
      </w:r>
      <w:r w:rsidR="005320BF" w:rsidRPr="002D2B73">
        <w:rPr>
          <w:b/>
          <w:i/>
          <w:color w:val="000000"/>
          <w:sz w:val="22"/>
          <w:szCs w:val="22"/>
        </w:rPr>
        <w:t xml:space="preserve"> project and display the real-time entering of data </w:t>
      </w:r>
      <w:r w:rsidR="00167E35">
        <w:rPr>
          <w:b/>
          <w:i/>
          <w:color w:val="000000"/>
          <w:sz w:val="22"/>
          <w:szCs w:val="22"/>
        </w:rPr>
        <w:t xml:space="preserve">on to </w:t>
      </w:r>
      <w:r w:rsidR="005320BF" w:rsidRPr="002D2B73">
        <w:rPr>
          <w:b/>
          <w:i/>
          <w:color w:val="000000"/>
          <w:sz w:val="22"/>
          <w:szCs w:val="22"/>
        </w:rPr>
        <w:t>34</w:t>
      </w:r>
      <w:r w:rsidR="00167E35">
        <w:rPr>
          <w:b/>
          <w:i/>
          <w:color w:val="000000"/>
          <w:sz w:val="22"/>
          <w:szCs w:val="22"/>
        </w:rPr>
        <w:t>B</w:t>
      </w:r>
      <w:r w:rsidR="005320BF" w:rsidRPr="002D2B73">
        <w:rPr>
          <w:b/>
          <w:i/>
          <w:color w:val="000000"/>
          <w:sz w:val="22"/>
          <w:szCs w:val="22"/>
        </w:rPr>
        <w:t xml:space="preserve"> forms by ICT clerks, so that all agents and observers can see what exactly is being tallied </w:t>
      </w:r>
    </w:p>
    <w:p w14:paraId="7B2F53E6" w14:textId="77777777" w:rsidR="005320BF" w:rsidRPr="002D2B73" w:rsidRDefault="005320BF" w:rsidP="002D2B73">
      <w:pPr>
        <w:rPr>
          <w:color w:val="000000"/>
          <w:sz w:val="22"/>
          <w:szCs w:val="22"/>
        </w:rPr>
      </w:pPr>
    </w:p>
    <w:p w14:paraId="61B2A80C" w14:textId="1FBBA146" w:rsidR="005320BF" w:rsidRDefault="005320BF" w:rsidP="002D2B73">
      <w:pPr>
        <w:ind w:left="360"/>
        <w:rPr>
          <w:sz w:val="22"/>
          <w:szCs w:val="22"/>
        </w:rPr>
      </w:pPr>
      <w:r w:rsidRPr="002D2B73">
        <w:rPr>
          <w:sz w:val="22"/>
          <w:szCs w:val="22"/>
        </w:rPr>
        <w:t>EU EOM observers noted that generally observers and agents had a clear view at tallying centres and were able to scrutinize the overall process freely. However, due to limited space</w:t>
      </w:r>
      <w:r w:rsidR="008716BA">
        <w:rPr>
          <w:sz w:val="22"/>
          <w:szCs w:val="22"/>
        </w:rPr>
        <w:t>,</w:t>
      </w:r>
      <w:r w:rsidRPr="002D2B73">
        <w:rPr>
          <w:sz w:val="22"/>
          <w:szCs w:val="22"/>
        </w:rPr>
        <w:t xml:space="preserve"> party agents were not always close enough to ICT clerks to be able to follow the data entry of </w:t>
      </w:r>
      <w:r w:rsidR="00624CF0">
        <w:rPr>
          <w:sz w:val="22"/>
          <w:szCs w:val="22"/>
        </w:rPr>
        <w:t xml:space="preserve">34A </w:t>
      </w:r>
      <w:r w:rsidRPr="002D2B73">
        <w:rPr>
          <w:sz w:val="22"/>
          <w:szCs w:val="22"/>
        </w:rPr>
        <w:t>po</w:t>
      </w:r>
      <w:r w:rsidR="00624CF0">
        <w:rPr>
          <w:sz w:val="22"/>
          <w:szCs w:val="22"/>
        </w:rPr>
        <w:t xml:space="preserve">lling station results forms </w:t>
      </w:r>
      <w:r w:rsidRPr="002D2B73">
        <w:rPr>
          <w:sz w:val="22"/>
          <w:szCs w:val="22"/>
        </w:rPr>
        <w:t xml:space="preserve">onto </w:t>
      </w:r>
      <w:r w:rsidR="00624CF0">
        <w:rPr>
          <w:sz w:val="22"/>
          <w:szCs w:val="22"/>
        </w:rPr>
        <w:t>tabulation</w:t>
      </w:r>
      <w:r w:rsidR="00624CF0" w:rsidRPr="002D2B73">
        <w:rPr>
          <w:sz w:val="22"/>
          <w:szCs w:val="22"/>
        </w:rPr>
        <w:t xml:space="preserve"> </w:t>
      </w:r>
      <w:r w:rsidR="00624CF0">
        <w:rPr>
          <w:sz w:val="22"/>
          <w:szCs w:val="22"/>
        </w:rPr>
        <w:t>tables</w:t>
      </w:r>
      <w:r w:rsidR="00624CF0" w:rsidRPr="002D2B73">
        <w:rPr>
          <w:sz w:val="22"/>
          <w:szCs w:val="22"/>
        </w:rPr>
        <w:t xml:space="preserve"> </w:t>
      </w:r>
      <w:r w:rsidRPr="002D2B73">
        <w:rPr>
          <w:sz w:val="22"/>
          <w:szCs w:val="22"/>
        </w:rPr>
        <w:t xml:space="preserve">under the supervision of ROs. </w:t>
      </w:r>
      <w:r w:rsidR="00454C4A" w:rsidRPr="002D2B73">
        <w:rPr>
          <w:sz w:val="22"/>
          <w:szCs w:val="22"/>
        </w:rPr>
        <w:t>The planned projections did not always take place as planned</w:t>
      </w:r>
      <w:r w:rsidR="00454C4A">
        <w:rPr>
          <w:sz w:val="22"/>
          <w:szCs w:val="22"/>
        </w:rPr>
        <w:t>, and w</w:t>
      </w:r>
      <w:r w:rsidR="00454C4A" w:rsidRPr="002D2B73">
        <w:rPr>
          <w:sz w:val="22"/>
          <w:szCs w:val="22"/>
        </w:rPr>
        <w:t xml:space="preserve">hen </w:t>
      </w:r>
      <w:r w:rsidR="00454C4A">
        <w:rPr>
          <w:sz w:val="22"/>
          <w:szCs w:val="22"/>
        </w:rPr>
        <w:t>they were working</w:t>
      </w:r>
      <w:r w:rsidR="00454C4A" w:rsidRPr="002D2B73">
        <w:rPr>
          <w:sz w:val="22"/>
          <w:szCs w:val="22"/>
        </w:rPr>
        <w:t>, rather than showing the tallying of the actual constituency results (based on the 34A forms) only the keyed-in results were</w:t>
      </w:r>
      <w:r w:rsidR="00454C4A">
        <w:rPr>
          <w:sz w:val="22"/>
          <w:szCs w:val="22"/>
        </w:rPr>
        <w:t xml:space="preserve"> shown.</w:t>
      </w:r>
    </w:p>
    <w:p w14:paraId="1E1C457B" w14:textId="77777777" w:rsidR="006B23E0" w:rsidRDefault="006B23E0" w:rsidP="002D2B73">
      <w:pPr>
        <w:ind w:left="360"/>
        <w:rPr>
          <w:sz w:val="22"/>
          <w:szCs w:val="22"/>
        </w:rPr>
      </w:pPr>
    </w:p>
    <w:p w14:paraId="1685500C" w14:textId="4879565B" w:rsidR="006B23E0" w:rsidRPr="002D2B73" w:rsidRDefault="006B23E0" w:rsidP="006B23E0">
      <w:pPr>
        <w:numPr>
          <w:ilvl w:val="0"/>
          <w:numId w:val="30"/>
        </w:numPr>
        <w:rPr>
          <w:b/>
          <w:i/>
          <w:color w:val="000000"/>
          <w:sz w:val="22"/>
          <w:szCs w:val="22"/>
        </w:rPr>
      </w:pPr>
      <w:r w:rsidRPr="002D2B73">
        <w:rPr>
          <w:b/>
          <w:i/>
          <w:color w:val="000000"/>
          <w:sz w:val="22"/>
          <w:szCs w:val="22"/>
        </w:rPr>
        <w:t>Standardize constituency results forms</w:t>
      </w:r>
      <w:r w:rsidR="00167E35">
        <w:rPr>
          <w:b/>
          <w:i/>
          <w:color w:val="000000"/>
          <w:sz w:val="22"/>
          <w:szCs w:val="22"/>
        </w:rPr>
        <w:t xml:space="preserve"> used</w:t>
      </w:r>
      <w:r w:rsidRPr="002D2B73">
        <w:rPr>
          <w:b/>
          <w:i/>
          <w:color w:val="000000"/>
          <w:sz w:val="22"/>
          <w:szCs w:val="22"/>
        </w:rPr>
        <w:t xml:space="preserve"> (34Bs), complete with security features, and take necessary measures for their consistent and accurate use by Returning Officers</w:t>
      </w:r>
    </w:p>
    <w:p w14:paraId="135C9695" w14:textId="77777777" w:rsidR="006B23E0" w:rsidRPr="002D2B73" w:rsidRDefault="006B23E0" w:rsidP="006B23E0">
      <w:pPr>
        <w:ind w:left="360"/>
        <w:rPr>
          <w:b/>
          <w:i/>
          <w:color w:val="000000"/>
          <w:sz w:val="22"/>
          <w:szCs w:val="22"/>
        </w:rPr>
      </w:pPr>
    </w:p>
    <w:p w14:paraId="62098AC6" w14:textId="6289DC43" w:rsidR="006B23E0" w:rsidRPr="002D2B73" w:rsidRDefault="006B23E0" w:rsidP="006B23E0">
      <w:pPr>
        <w:pStyle w:val="ListParagraph"/>
        <w:ind w:left="360"/>
        <w:rPr>
          <w:bCs/>
          <w:color w:val="000000"/>
          <w:sz w:val="22"/>
          <w:szCs w:val="22"/>
        </w:rPr>
      </w:pPr>
      <w:r w:rsidRPr="002D2B73">
        <w:rPr>
          <w:sz w:val="22"/>
          <w:szCs w:val="22"/>
        </w:rPr>
        <w:t xml:space="preserve">EU EOM observers noted </w:t>
      </w:r>
      <w:r w:rsidRPr="002D2B73">
        <w:rPr>
          <w:bCs/>
          <w:color w:val="000000"/>
          <w:sz w:val="22"/>
          <w:szCs w:val="22"/>
        </w:rPr>
        <w:t>that 34B</w:t>
      </w:r>
      <w:r w:rsidR="00624CF0">
        <w:rPr>
          <w:bCs/>
          <w:color w:val="000000"/>
          <w:sz w:val="22"/>
          <w:szCs w:val="22"/>
        </w:rPr>
        <w:t xml:space="preserve"> form</w:t>
      </w:r>
      <w:r w:rsidRPr="002D2B73">
        <w:rPr>
          <w:bCs/>
          <w:color w:val="000000"/>
          <w:sz w:val="22"/>
          <w:szCs w:val="22"/>
        </w:rPr>
        <w:t xml:space="preserve">s were not standardized, with some forms (or sub-pages) printed on plain paper rather than the paper with dedicated security features. There was also a lack of consistency of format for the tabulation tables used. </w:t>
      </w:r>
      <w:r w:rsidRPr="00106B80">
        <w:rPr>
          <w:bCs/>
          <w:color w:val="000000"/>
          <w:sz w:val="22"/>
          <w:szCs w:val="22"/>
        </w:rPr>
        <w:t xml:space="preserve">Of the 290 </w:t>
      </w:r>
      <w:r>
        <w:rPr>
          <w:bCs/>
          <w:color w:val="000000"/>
          <w:sz w:val="22"/>
          <w:szCs w:val="22"/>
        </w:rPr>
        <w:t xml:space="preserve">34B </w:t>
      </w:r>
      <w:r w:rsidRPr="00106B80">
        <w:rPr>
          <w:bCs/>
          <w:color w:val="000000"/>
          <w:sz w:val="22"/>
          <w:szCs w:val="22"/>
        </w:rPr>
        <w:t xml:space="preserve">forms </w:t>
      </w:r>
      <w:r>
        <w:rPr>
          <w:bCs/>
          <w:color w:val="000000"/>
          <w:sz w:val="22"/>
          <w:szCs w:val="22"/>
        </w:rPr>
        <w:t>examined</w:t>
      </w:r>
      <w:r w:rsidRPr="00106B80">
        <w:rPr>
          <w:bCs/>
          <w:color w:val="000000"/>
          <w:sz w:val="22"/>
          <w:szCs w:val="22"/>
        </w:rPr>
        <w:t xml:space="preserve"> in the days immediately after they were made available online, 20 were found without the RO’s name recorded and 5 had no RO signature. </w:t>
      </w:r>
      <w:r w:rsidRPr="002D2B73">
        <w:rPr>
          <w:bCs/>
          <w:color w:val="000000"/>
          <w:sz w:val="22"/>
          <w:szCs w:val="22"/>
        </w:rPr>
        <w:t xml:space="preserve"> </w:t>
      </w:r>
      <w:r w:rsidRPr="002D2B73">
        <w:rPr>
          <w:sz w:val="22"/>
          <w:szCs w:val="22"/>
        </w:rPr>
        <w:t>In keeping with the scrutiny report of the Supreme Court registrar, the EU EOM noted that in the majority of forms the “</w:t>
      </w:r>
      <w:r w:rsidRPr="002D2B73">
        <w:rPr>
          <w:i/>
          <w:sz w:val="22"/>
          <w:szCs w:val="22"/>
        </w:rPr>
        <w:t>handover</w:t>
      </w:r>
      <w:r w:rsidRPr="002D2B73">
        <w:rPr>
          <w:sz w:val="22"/>
          <w:szCs w:val="22"/>
        </w:rPr>
        <w:t xml:space="preserve">” section recording the number of 34A forms received had not been completed. </w:t>
      </w:r>
    </w:p>
    <w:p w14:paraId="231DB40F" w14:textId="77777777" w:rsidR="006B23E0" w:rsidRDefault="006B23E0" w:rsidP="006B23E0">
      <w:pPr>
        <w:pStyle w:val="ListParagraph"/>
        <w:ind w:left="360"/>
        <w:rPr>
          <w:sz w:val="22"/>
          <w:szCs w:val="22"/>
        </w:rPr>
      </w:pPr>
    </w:p>
    <w:p w14:paraId="3DA24D89" w14:textId="7C26B2FF" w:rsidR="006B23E0" w:rsidRPr="006B23E0" w:rsidRDefault="006B23E0" w:rsidP="006B23E0">
      <w:pPr>
        <w:pStyle w:val="ListParagraph"/>
        <w:ind w:left="360"/>
        <w:rPr>
          <w:sz w:val="22"/>
          <w:szCs w:val="22"/>
        </w:rPr>
      </w:pPr>
      <w:r w:rsidRPr="002D2B73">
        <w:rPr>
          <w:sz w:val="22"/>
          <w:szCs w:val="22"/>
        </w:rPr>
        <w:t>Some changes in uploaded 34B forms were noted</w:t>
      </w:r>
      <w:r>
        <w:rPr>
          <w:sz w:val="22"/>
          <w:szCs w:val="22"/>
        </w:rPr>
        <w:t>. H</w:t>
      </w:r>
      <w:r w:rsidRPr="002D2B73">
        <w:rPr>
          <w:sz w:val="22"/>
          <w:szCs w:val="22"/>
        </w:rPr>
        <w:t xml:space="preserve">owever from the sample looked at </w:t>
      </w:r>
      <w:r>
        <w:rPr>
          <w:sz w:val="22"/>
          <w:szCs w:val="22"/>
        </w:rPr>
        <w:t>by the EU EOM, alterations</w:t>
      </w:r>
      <w:r w:rsidRPr="002D2B73">
        <w:rPr>
          <w:sz w:val="22"/>
          <w:szCs w:val="22"/>
        </w:rPr>
        <w:t xml:space="preserve"> w</w:t>
      </w:r>
      <w:r>
        <w:rPr>
          <w:sz w:val="22"/>
          <w:szCs w:val="22"/>
        </w:rPr>
        <w:t>ere</w:t>
      </w:r>
      <w:r w:rsidRPr="002D2B73">
        <w:rPr>
          <w:sz w:val="22"/>
          <w:szCs w:val="22"/>
        </w:rPr>
        <w:t xml:space="preserve"> seen to be essentially a change in format of the form or scan rather than a </w:t>
      </w:r>
      <w:r w:rsidRPr="002D2B73">
        <w:rPr>
          <w:sz w:val="22"/>
          <w:szCs w:val="22"/>
        </w:rPr>
        <w:lastRenderedPageBreak/>
        <w:t>change in content.</w:t>
      </w:r>
      <w:r>
        <w:rPr>
          <w:rStyle w:val="FootnoteReference"/>
          <w:sz w:val="22"/>
          <w:szCs w:val="22"/>
        </w:rPr>
        <w:footnoteReference w:id="8"/>
      </w:r>
      <w:r w:rsidRPr="002D2B73">
        <w:rPr>
          <w:sz w:val="22"/>
          <w:szCs w:val="22"/>
        </w:rPr>
        <w:t xml:space="preserve"> </w:t>
      </w:r>
      <w:r w:rsidR="00766A0C">
        <w:rPr>
          <w:sz w:val="22"/>
          <w:szCs w:val="22"/>
        </w:rPr>
        <w:t>T</w:t>
      </w:r>
      <w:r w:rsidR="00766A0C" w:rsidRPr="002D2B73">
        <w:rPr>
          <w:sz w:val="22"/>
          <w:szCs w:val="22"/>
        </w:rPr>
        <w:t>hese irregularities generated suspicion that forms were not controlled and may have been subject to manipulation.</w:t>
      </w:r>
    </w:p>
    <w:p w14:paraId="1DE5BA30" w14:textId="77777777" w:rsidR="005320BF" w:rsidRPr="002D2B73" w:rsidRDefault="005320BF" w:rsidP="005320BF">
      <w:pPr>
        <w:rPr>
          <w:i/>
          <w:color w:val="000000"/>
          <w:sz w:val="22"/>
          <w:szCs w:val="22"/>
        </w:rPr>
      </w:pPr>
    </w:p>
    <w:p w14:paraId="11249783" w14:textId="14C5CB77" w:rsidR="005320BF" w:rsidRPr="002D2B73" w:rsidRDefault="005320BF" w:rsidP="005320BF">
      <w:pPr>
        <w:numPr>
          <w:ilvl w:val="0"/>
          <w:numId w:val="30"/>
        </w:numPr>
        <w:rPr>
          <w:b/>
          <w:i/>
          <w:color w:val="000000"/>
          <w:sz w:val="22"/>
          <w:szCs w:val="22"/>
        </w:rPr>
      </w:pPr>
      <w:r w:rsidRPr="002D2B73">
        <w:rPr>
          <w:b/>
          <w:i/>
          <w:color w:val="000000"/>
          <w:sz w:val="22"/>
          <w:szCs w:val="22"/>
        </w:rPr>
        <w:t xml:space="preserve">Ensure that all </w:t>
      </w:r>
      <w:r w:rsidR="00A058D7">
        <w:rPr>
          <w:b/>
          <w:i/>
          <w:color w:val="000000"/>
          <w:sz w:val="22"/>
          <w:szCs w:val="22"/>
        </w:rPr>
        <w:t xml:space="preserve">form </w:t>
      </w:r>
      <w:r w:rsidRPr="002D2B73">
        <w:rPr>
          <w:b/>
          <w:i/>
          <w:color w:val="000000"/>
          <w:sz w:val="22"/>
          <w:szCs w:val="22"/>
        </w:rPr>
        <w:t>34Bs and 34As are published on the IEBC website promptly to allow time for checking and</w:t>
      </w:r>
      <w:r w:rsidR="00454C4A">
        <w:rPr>
          <w:b/>
          <w:i/>
          <w:color w:val="000000"/>
          <w:sz w:val="22"/>
          <w:szCs w:val="22"/>
        </w:rPr>
        <w:t xml:space="preserve"> </w:t>
      </w:r>
      <w:r w:rsidRPr="002D2B73">
        <w:rPr>
          <w:b/>
          <w:i/>
          <w:color w:val="000000"/>
          <w:sz w:val="22"/>
          <w:szCs w:val="22"/>
        </w:rPr>
        <w:t>preparation of possible petition</w:t>
      </w:r>
      <w:r w:rsidR="00454C4A">
        <w:rPr>
          <w:b/>
          <w:i/>
          <w:color w:val="000000"/>
          <w:sz w:val="22"/>
          <w:szCs w:val="22"/>
        </w:rPr>
        <w:t xml:space="preserve">s. </w:t>
      </w:r>
      <w:r w:rsidRPr="002D2B73">
        <w:rPr>
          <w:b/>
          <w:i/>
          <w:color w:val="000000"/>
          <w:sz w:val="22"/>
          <w:szCs w:val="22"/>
        </w:rPr>
        <w:t>Account for any updates of scans</w:t>
      </w:r>
      <w:r w:rsidR="00454C4A">
        <w:rPr>
          <w:b/>
          <w:i/>
          <w:color w:val="000000"/>
          <w:sz w:val="22"/>
          <w:szCs w:val="22"/>
        </w:rPr>
        <w:t xml:space="preserve">, with </w:t>
      </w:r>
      <w:r w:rsidR="00DF4005">
        <w:rPr>
          <w:b/>
          <w:i/>
          <w:color w:val="000000"/>
          <w:sz w:val="22"/>
          <w:szCs w:val="22"/>
        </w:rPr>
        <w:t>time stamp</w:t>
      </w:r>
      <w:r w:rsidR="00454C4A">
        <w:rPr>
          <w:b/>
          <w:i/>
          <w:color w:val="000000"/>
          <w:sz w:val="22"/>
          <w:szCs w:val="22"/>
        </w:rPr>
        <w:t>s</w:t>
      </w:r>
      <w:r w:rsidRPr="002D2B73">
        <w:rPr>
          <w:b/>
          <w:i/>
          <w:color w:val="000000"/>
          <w:sz w:val="22"/>
          <w:szCs w:val="22"/>
        </w:rPr>
        <w:t xml:space="preserve"> and original copies</w:t>
      </w:r>
      <w:r w:rsidR="00DF4005">
        <w:rPr>
          <w:b/>
          <w:i/>
          <w:color w:val="000000"/>
          <w:sz w:val="22"/>
          <w:szCs w:val="22"/>
        </w:rPr>
        <w:t xml:space="preserve"> kept </w:t>
      </w:r>
      <w:r w:rsidRPr="002D2B73">
        <w:rPr>
          <w:b/>
          <w:i/>
          <w:color w:val="000000"/>
          <w:sz w:val="22"/>
          <w:szCs w:val="22"/>
        </w:rPr>
        <w:t>available on the portal</w:t>
      </w:r>
    </w:p>
    <w:p w14:paraId="43D5286C" w14:textId="77777777" w:rsidR="005320BF" w:rsidRPr="002D2B73" w:rsidRDefault="005320BF" w:rsidP="005320BF">
      <w:pPr>
        <w:rPr>
          <w:i/>
          <w:color w:val="000000"/>
          <w:sz w:val="22"/>
          <w:szCs w:val="22"/>
        </w:rPr>
      </w:pPr>
    </w:p>
    <w:p w14:paraId="637C9B09" w14:textId="50CD8E10" w:rsidR="005320BF" w:rsidRPr="002D2B73" w:rsidRDefault="005320BF" w:rsidP="005320BF">
      <w:pPr>
        <w:ind w:left="360"/>
        <w:rPr>
          <w:color w:val="000000"/>
          <w:sz w:val="22"/>
          <w:szCs w:val="22"/>
        </w:rPr>
      </w:pPr>
      <w:r w:rsidRPr="002D2B73">
        <w:rPr>
          <w:sz w:val="22"/>
          <w:szCs w:val="22"/>
        </w:rPr>
        <w:t>All results forms should be available to parties, candidates and agents at constituency tallying centres to allow cross-checking of constituency results to be undertaken on the spot. This checking is particularly important given that declared constituency results are final and cannot be changed (except through a court petition). Online availability of all forms facilitates overall checking and extends access to a broader range of stakeholders. It is also legally required, albeit without specified time limits.</w:t>
      </w:r>
      <w:r w:rsidRPr="002D2B73">
        <w:rPr>
          <w:rStyle w:val="FootnoteReference"/>
          <w:sz w:val="22"/>
          <w:szCs w:val="22"/>
        </w:rPr>
        <w:footnoteReference w:id="9"/>
      </w:r>
      <w:r w:rsidRPr="002D2B73">
        <w:rPr>
          <w:rStyle w:val="FootnoteReference"/>
          <w:color w:val="000000"/>
          <w:sz w:val="22"/>
          <w:szCs w:val="22"/>
        </w:rPr>
        <w:t xml:space="preserve"> </w:t>
      </w:r>
      <w:r w:rsidRPr="002D2B73">
        <w:rPr>
          <w:color w:val="000000"/>
          <w:sz w:val="22"/>
          <w:szCs w:val="22"/>
        </w:rPr>
        <w:t>For future elections the deadlines for presidential petitions could be revised to allow more time for checking results forms, recounts or audits, thereby strengthening access to remedy.</w:t>
      </w:r>
      <w:r w:rsidRPr="002D2B73">
        <w:rPr>
          <w:rStyle w:val="FootnoteReference"/>
          <w:color w:val="000000"/>
          <w:sz w:val="22"/>
          <w:szCs w:val="22"/>
        </w:rPr>
        <w:footnoteReference w:id="10"/>
      </w:r>
      <w:r w:rsidRPr="002D2B73">
        <w:rPr>
          <w:sz w:val="22"/>
          <w:szCs w:val="22"/>
        </w:rPr>
        <w:t xml:space="preserve"> At a minimum, the immediate online availability of all 34B forms (which include a breakdown by polling station) at the time of the results declaration will facilitate stakeholder checking and subsequent confidence in the announced result.</w:t>
      </w:r>
    </w:p>
    <w:p w14:paraId="3E54A660" w14:textId="77777777" w:rsidR="005320BF" w:rsidRPr="002D2B73" w:rsidRDefault="005320BF" w:rsidP="005320BF">
      <w:pPr>
        <w:ind w:left="360"/>
        <w:rPr>
          <w:sz w:val="22"/>
          <w:szCs w:val="22"/>
        </w:rPr>
      </w:pPr>
    </w:p>
    <w:p w14:paraId="507F7F40" w14:textId="4B70E4E9" w:rsidR="005320BF" w:rsidRPr="002D2B73" w:rsidRDefault="00AC2D70" w:rsidP="005320BF">
      <w:pPr>
        <w:ind w:left="360"/>
        <w:rPr>
          <w:sz w:val="22"/>
          <w:szCs w:val="22"/>
        </w:rPr>
      </w:pPr>
      <w:r>
        <w:rPr>
          <w:sz w:val="22"/>
          <w:szCs w:val="22"/>
        </w:rPr>
        <w:t>T</w:t>
      </w:r>
      <w:r w:rsidR="005320BF" w:rsidRPr="002D2B73">
        <w:rPr>
          <w:sz w:val="22"/>
          <w:szCs w:val="22"/>
        </w:rPr>
        <w:t xml:space="preserve">he EU EOM was concerned at the lack of availability online of any scanned 34B forms and the lack of further progress with uploading the outstanding nearly 11,000 scanned 34A forms. </w:t>
      </w:r>
      <w:r w:rsidR="00454C4A">
        <w:rPr>
          <w:sz w:val="22"/>
          <w:szCs w:val="22"/>
          <w:lang w:val="en-US"/>
        </w:rPr>
        <w:t>Th</w:t>
      </w:r>
      <w:r>
        <w:rPr>
          <w:sz w:val="22"/>
          <w:szCs w:val="22"/>
          <w:lang w:val="en-US"/>
        </w:rPr>
        <w:t xml:space="preserve">e shortcoming in </w:t>
      </w:r>
      <w:r w:rsidR="00454C4A" w:rsidRPr="00454C4A">
        <w:rPr>
          <w:sz w:val="22"/>
          <w:szCs w:val="22"/>
          <w:lang w:val="en-US"/>
        </w:rPr>
        <w:t xml:space="preserve">uploading </w:t>
      </w:r>
      <w:r>
        <w:rPr>
          <w:sz w:val="22"/>
          <w:szCs w:val="22"/>
          <w:lang w:val="en-US"/>
        </w:rPr>
        <w:t xml:space="preserve">of results forms </w:t>
      </w:r>
      <w:r w:rsidR="00454C4A" w:rsidRPr="00454C4A">
        <w:rPr>
          <w:sz w:val="22"/>
          <w:szCs w:val="22"/>
          <w:lang w:val="en-US"/>
        </w:rPr>
        <w:t xml:space="preserve">was particularly important </w:t>
      </w:r>
      <w:r w:rsidR="00454C4A">
        <w:rPr>
          <w:sz w:val="22"/>
          <w:szCs w:val="22"/>
          <w:lang w:val="en-US"/>
        </w:rPr>
        <w:t>given</w:t>
      </w:r>
      <w:r w:rsidR="00454C4A" w:rsidRPr="00454C4A">
        <w:rPr>
          <w:sz w:val="22"/>
          <w:szCs w:val="22"/>
          <w:lang w:val="en-US"/>
        </w:rPr>
        <w:t xml:space="preserve"> the </w:t>
      </w:r>
      <w:r>
        <w:rPr>
          <w:sz w:val="22"/>
          <w:szCs w:val="22"/>
          <w:lang w:val="en-US"/>
        </w:rPr>
        <w:t>short</w:t>
      </w:r>
      <w:r w:rsidRPr="00454C4A">
        <w:rPr>
          <w:sz w:val="22"/>
          <w:szCs w:val="22"/>
          <w:lang w:val="en-US"/>
        </w:rPr>
        <w:t xml:space="preserve"> </w:t>
      </w:r>
      <w:r w:rsidR="00454C4A" w:rsidRPr="00454C4A">
        <w:rPr>
          <w:sz w:val="22"/>
          <w:szCs w:val="22"/>
          <w:lang w:val="en-US"/>
        </w:rPr>
        <w:t>petitions deadline</w:t>
      </w:r>
      <w:r w:rsidR="00E57AA7">
        <w:rPr>
          <w:sz w:val="22"/>
          <w:szCs w:val="22"/>
          <w:lang w:val="en-US"/>
        </w:rPr>
        <w:t xml:space="preserve">, </w:t>
      </w:r>
      <w:r>
        <w:rPr>
          <w:sz w:val="22"/>
          <w:szCs w:val="22"/>
          <w:lang w:val="en-US"/>
        </w:rPr>
        <w:t>as it reduced stakeholder access</w:t>
      </w:r>
      <w:r w:rsidR="00E57AA7">
        <w:rPr>
          <w:sz w:val="22"/>
          <w:szCs w:val="22"/>
          <w:lang w:val="en-US"/>
        </w:rPr>
        <w:t xml:space="preserve"> </w:t>
      </w:r>
      <w:r>
        <w:rPr>
          <w:sz w:val="22"/>
          <w:szCs w:val="22"/>
          <w:lang w:val="en-US"/>
        </w:rPr>
        <w:t>to potential evidence for legal challenges</w:t>
      </w:r>
      <w:r w:rsidR="00454C4A" w:rsidRPr="00454C4A">
        <w:rPr>
          <w:sz w:val="22"/>
          <w:szCs w:val="22"/>
          <w:lang w:val="en-US"/>
        </w:rPr>
        <w:t xml:space="preserve">. </w:t>
      </w:r>
      <w:r w:rsidR="005320BF" w:rsidRPr="002D2B73">
        <w:rPr>
          <w:sz w:val="22"/>
          <w:szCs w:val="22"/>
        </w:rPr>
        <w:t>The mission put out a statement</w:t>
      </w:r>
      <w:r w:rsidR="00F21F9F">
        <w:rPr>
          <w:sz w:val="22"/>
          <w:szCs w:val="22"/>
        </w:rPr>
        <w:t xml:space="preserve"> on 16 August</w:t>
      </w:r>
      <w:r w:rsidR="005320BF" w:rsidRPr="002D2B73">
        <w:rPr>
          <w:sz w:val="22"/>
          <w:szCs w:val="22"/>
        </w:rPr>
        <w:t xml:space="preserve"> “</w:t>
      </w:r>
      <w:r w:rsidR="005320BF" w:rsidRPr="002D2B73">
        <w:rPr>
          <w:i/>
          <w:sz w:val="22"/>
          <w:szCs w:val="22"/>
        </w:rPr>
        <w:t>call</w:t>
      </w:r>
      <w:r w:rsidR="005320BF" w:rsidRPr="002D2B73">
        <w:rPr>
          <w:sz w:val="22"/>
          <w:szCs w:val="22"/>
        </w:rPr>
        <w:t>[ing]</w:t>
      </w:r>
      <w:r w:rsidR="005320BF" w:rsidRPr="002D2B73">
        <w:rPr>
          <w:i/>
          <w:sz w:val="22"/>
          <w:szCs w:val="22"/>
        </w:rPr>
        <w:t xml:space="preserve"> on the IEBC to continue to publish all results forms online promptly…</w:t>
      </w:r>
      <w:r w:rsidR="005320BF" w:rsidRPr="002D2B73">
        <w:rPr>
          <w:sz w:val="22"/>
          <w:szCs w:val="22"/>
        </w:rPr>
        <w:t xml:space="preserve"> [to] </w:t>
      </w:r>
      <w:r w:rsidR="005320BF" w:rsidRPr="002D2B73">
        <w:rPr>
          <w:i/>
          <w:sz w:val="22"/>
          <w:szCs w:val="22"/>
        </w:rPr>
        <w:t>enable all stakeholders to examine the accuracy of the announced results and point to any possible anomalies.”</w:t>
      </w:r>
      <w:r w:rsidR="00F21F9F">
        <w:rPr>
          <w:rStyle w:val="FootnoteReference"/>
          <w:i/>
          <w:sz w:val="22"/>
          <w:szCs w:val="22"/>
        </w:rPr>
        <w:footnoteReference w:id="11"/>
      </w:r>
      <w:r w:rsidR="005320BF" w:rsidRPr="002D2B73">
        <w:rPr>
          <w:rStyle w:val="FootnoteReference"/>
          <w:color w:val="000000"/>
          <w:sz w:val="22"/>
          <w:szCs w:val="22"/>
        </w:rPr>
        <w:t xml:space="preserve"> </w:t>
      </w:r>
      <w:r w:rsidR="005320BF" w:rsidRPr="002D2B73">
        <w:rPr>
          <w:sz w:val="22"/>
          <w:szCs w:val="22"/>
        </w:rPr>
        <w:t>The statement noted “</w:t>
      </w:r>
      <w:r w:rsidR="005320BF" w:rsidRPr="002D2B73">
        <w:rPr>
          <w:i/>
          <w:sz w:val="22"/>
          <w:szCs w:val="22"/>
        </w:rPr>
        <w:t>Provision of information and statistics would also help promote confidence through transparency</w:t>
      </w:r>
      <w:r w:rsidR="005320BF" w:rsidRPr="002D2B73">
        <w:rPr>
          <w:sz w:val="22"/>
          <w:szCs w:val="22"/>
        </w:rPr>
        <w:t>.”</w:t>
      </w:r>
      <w:r w:rsidR="005320BF" w:rsidRPr="002D2B73">
        <w:rPr>
          <w:rStyle w:val="FootnoteReference"/>
          <w:sz w:val="22"/>
          <w:szCs w:val="22"/>
        </w:rPr>
        <w:footnoteReference w:id="12"/>
      </w:r>
      <w:r w:rsidR="005320BF" w:rsidRPr="002D2B73">
        <w:rPr>
          <w:sz w:val="22"/>
          <w:szCs w:val="22"/>
        </w:rPr>
        <w:t xml:space="preserve"> </w:t>
      </w:r>
    </w:p>
    <w:p w14:paraId="464193F0" w14:textId="77777777" w:rsidR="005320BF" w:rsidRPr="002D2B73" w:rsidRDefault="005320BF" w:rsidP="005320BF">
      <w:pPr>
        <w:ind w:left="360"/>
        <w:rPr>
          <w:sz w:val="22"/>
          <w:szCs w:val="22"/>
        </w:rPr>
      </w:pPr>
    </w:p>
    <w:p w14:paraId="5CD54849" w14:textId="73ADE628" w:rsidR="005320BF" w:rsidRPr="002D2B73" w:rsidRDefault="005320BF" w:rsidP="005320BF">
      <w:pPr>
        <w:ind w:left="360"/>
        <w:rPr>
          <w:sz w:val="22"/>
          <w:szCs w:val="22"/>
        </w:rPr>
      </w:pPr>
      <w:r w:rsidRPr="002D2B73">
        <w:rPr>
          <w:sz w:val="22"/>
          <w:szCs w:val="22"/>
        </w:rPr>
        <w:t>The EU EOM found that on 19 August (after the deadline for submitting petitions), 7% of the 1,558 polling stations sampled by the EU EOM still did not have the scanned 34A forms available online. Of those that were available, 23% were not fully readable (see above recommendation 2). Also some scanned 34B forms had missing or duplicated pages resulting in confusion about missing or ghost polling stations.</w:t>
      </w:r>
      <w:r w:rsidRPr="002D2B73">
        <w:rPr>
          <w:rStyle w:val="FootnoteReference"/>
          <w:sz w:val="22"/>
          <w:szCs w:val="22"/>
        </w:rPr>
        <w:footnoteReference w:id="13"/>
      </w:r>
      <w:r w:rsidRPr="002D2B73">
        <w:rPr>
          <w:sz w:val="22"/>
          <w:szCs w:val="22"/>
        </w:rPr>
        <w:t xml:space="preserve"> </w:t>
      </w:r>
      <w:r w:rsidR="00F66BAF">
        <w:rPr>
          <w:sz w:val="22"/>
          <w:szCs w:val="22"/>
        </w:rPr>
        <w:t xml:space="preserve">The uploading of scanned 34A forms (concerning the presidential election) was </w:t>
      </w:r>
      <w:r w:rsidR="001917FF">
        <w:rPr>
          <w:sz w:val="22"/>
          <w:szCs w:val="22"/>
        </w:rPr>
        <w:lastRenderedPageBreak/>
        <w:t xml:space="preserve">reportedly </w:t>
      </w:r>
      <w:r w:rsidR="00F66BAF">
        <w:rPr>
          <w:sz w:val="22"/>
          <w:szCs w:val="22"/>
        </w:rPr>
        <w:t xml:space="preserve">not completed until 25 August, a week after the deadline for </w:t>
      </w:r>
      <w:r w:rsidR="004D1E4A">
        <w:rPr>
          <w:sz w:val="22"/>
          <w:szCs w:val="22"/>
        </w:rPr>
        <w:t>f</w:t>
      </w:r>
      <w:r w:rsidR="00F66BAF">
        <w:rPr>
          <w:sz w:val="22"/>
          <w:szCs w:val="22"/>
        </w:rPr>
        <w:t>iling presidential petition</w:t>
      </w:r>
      <w:r w:rsidR="004D1E4A">
        <w:rPr>
          <w:sz w:val="22"/>
          <w:szCs w:val="22"/>
        </w:rPr>
        <w:t>s</w:t>
      </w:r>
      <w:r w:rsidR="00F66BAF">
        <w:rPr>
          <w:sz w:val="22"/>
          <w:szCs w:val="22"/>
        </w:rPr>
        <w:t xml:space="preserve">. </w:t>
      </w:r>
      <w:r w:rsidRPr="002D2B73">
        <w:rPr>
          <w:sz w:val="22"/>
          <w:szCs w:val="22"/>
        </w:rPr>
        <w:t>To date none of</w:t>
      </w:r>
      <w:r w:rsidR="00454C4A">
        <w:rPr>
          <w:sz w:val="22"/>
          <w:szCs w:val="22"/>
        </w:rPr>
        <w:t xml:space="preserve"> the results for the other 1,881</w:t>
      </w:r>
      <w:r w:rsidRPr="002D2B73">
        <w:rPr>
          <w:sz w:val="22"/>
          <w:szCs w:val="22"/>
        </w:rPr>
        <w:t xml:space="preserve"> seats being contested on 8 August 2017 have been put online, and the deadline for submitting petitions </w:t>
      </w:r>
      <w:r w:rsidR="00454C4A">
        <w:rPr>
          <w:sz w:val="22"/>
          <w:szCs w:val="22"/>
        </w:rPr>
        <w:t xml:space="preserve">for these elections </w:t>
      </w:r>
      <w:r w:rsidRPr="002D2B73">
        <w:rPr>
          <w:sz w:val="22"/>
          <w:szCs w:val="22"/>
        </w:rPr>
        <w:t>has passed (</w:t>
      </w:r>
      <w:r w:rsidR="006E4359">
        <w:rPr>
          <w:sz w:val="22"/>
          <w:szCs w:val="22"/>
        </w:rPr>
        <w:t>on</w:t>
      </w:r>
      <w:r w:rsidRPr="002D2B73">
        <w:rPr>
          <w:sz w:val="22"/>
          <w:szCs w:val="22"/>
        </w:rPr>
        <w:t xml:space="preserve"> 7 September 2017). </w:t>
      </w:r>
    </w:p>
    <w:p w14:paraId="7D42FA26" w14:textId="77777777" w:rsidR="005320BF" w:rsidRPr="002D2B73" w:rsidRDefault="005320BF" w:rsidP="005320BF">
      <w:pPr>
        <w:rPr>
          <w:i/>
          <w:color w:val="000000"/>
          <w:sz w:val="22"/>
          <w:szCs w:val="22"/>
        </w:rPr>
      </w:pPr>
    </w:p>
    <w:p w14:paraId="78546B51" w14:textId="716380BE" w:rsidR="006B23E0" w:rsidRPr="002D2B73" w:rsidRDefault="006B23E0" w:rsidP="006B23E0">
      <w:pPr>
        <w:numPr>
          <w:ilvl w:val="0"/>
          <w:numId w:val="30"/>
        </w:numPr>
        <w:rPr>
          <w:b/>
          <w:i/>
          <w:color w:val="000000"/>
          <w:sz w:val="22"/>
          <w:szCs w:val="22"/>
        </w:rPr>
      </w:pPr>
      <w:r>
        <w:rPr>
          <w:b/>
          <w:i/>
          <w:color w:val="000000"/>
          <w:sz w:val="22"/>
          <w:szCs w:val="22"/>
        </w:rPr>
        <w:t xml:space="preserve">Improve </w:t>
      </w:r>
      <w:r w:rsidRPr="002D2B73">
        <w:rPr>
          <w:b/>
          <w:i/>
          <w:color w:val="000000"/>
          <w:sz w:val="22"/>
          <w:szCs w:val="22"/>
        </w:rPr>
        <w:t>accountability mechanisms for</w:t>
      </w:r>
      <w:r>
        <w:rPr>
          <w:b/>
          <w:i/>
          <w:color w:val="000000"/>
          <w:sz w:val="22"/>
          <w:szCs w:val="22"/>
        </w:rPr>
        <w:t xml:space="preserve"> cases</w:t>
      </w:r>
      <w:r w:rsidRPr="002D2B73">
        <w:rPr>
          <w:b/>
          <w:i/>
          <w:color w:val="000000"/>
          <w:sz w:val="22"/>
          <w:szCs w:val="22"/>
        </w:rPr>
        <w:t xml:space="preserve"> when a voter’s biometric data is not matched in </w:t>
      </w:r>
      <w:r w:rsidR="006E4359">
        <w:rPr>
          <w:b/>
          <w:i/>
          <w:color w:val="000000"/>
          <w:sz w:val="22"/>
          <w:szCs w:val="22"/>
        </w:rPr>
        <w:t xml:space="preserve">the </w:t>
      </w:r>
      <w:r w:rsidRPr="002D2B73">
        <w:rPr>
          <w:b/>
          <w:i/>
          <w:color w:val="000000"/>
          <w:sz w:val="22"/>
          <w:szCs w:val="22"/>
        </w:rPr>
        <w:t xml:space="preserve">Kenya Integrated Elections Management System (KIEMS) kits in polling stations, so there is a complete record of who has voted </w:t>
      </w:r>
    </w:p>
    <w:p w14:paraId="59A604BA" w14:textId="77777777" w:rsidR="006B23E0" w:rsidRPr="002D2B73" w:rsidRDefault="006B23E0" w:rsidP="006B23E0">
      <w:pPr>
        <w:ind w:left="360"/>
        <w:rPr>
          <w:sz w:val="22"/>
          <w:szCs w:val="22"/>
        </w:rPr>
      </w:pPr>
    </w:p>
    <w:p w14:paraId="5110289D" w14:textId="73222D32" w:rsidR="006B23E0" w:rsidRDefault="00810D12" w:rsidP="006B23E0">
      <w:pPr>
        <w:ind w:left="360"/>
        <w:rPr>
          <w:sz w:val="22"/>
          <w:szCs w:val="22"/>
        </w:rPr>
      </w:pPr>
      <w:r>
        <w:rPr>
          <w:sz w:val="22"/>
          <w:szCs w:val="22"/>
        </w:rPr>
        <w:t>KIEMS kits were used appropriately and consistently for biometric voter identification. However t</w:t>
      </w:r>
      <w:r w:rsidR="006B23E0" w:rsidRPr="002D2B73">
        <w:rPr>
          <w:sz w:val="22"/>
          <w:szCs w:val="22"/>
        </w:rPr>
        <w:t xml:space="preserve">he EU EOM Preliminary Statement </w:t>
      </w:r>
      <w:r>
        <w:rPr>
          <w:sz w:val="22"/>
          <w:szCs w:val="22"/>
        </w:rPr>
        <w:t>noted that</w:t>
      </w:r>
      <w:r w:rsidR="00F868C5">
        <w:rPr>
          <w:sz w:val="22"/>
          <w:szCs w:val="22"/>
        </w:rPr>
        <w:t xml:space="preserve"> </w:t>
      </w:r>
      <w:r w:rsidR="006B23E0" w:rsidRPr="002D2B73">
        <w:rPr>
          <w:i/>
          <w:sz w:val="22"/>
          <w:szCs w:val="22"/>
        </w:rPr>
        <w:t xml:space="preserve">“In nearly half of stations </w:t>
      </w:r>
      <w:r w:rsidR="006B23E0" w:rsidRPr="002D2B73">
        <w:rPr>
          <w:sz w:val="22"/>
          <w:szCs w:val="22"/>
        </w:rPr>
        <w:t>[observed],</w:t>
      </w:r>
      <w:r w:rsidR="006B23E0" w:rsidRPr="002D2B73">
        <w:rPr>
          <w:i/>
          <w:sz w:val="22"/>
          <w:szCs w:val="22"/>
        </w:rPr>
        <w:t xml:space="preserve"> one or more voters were not recognised by their biometric data (fingerprints), and their alphanumeric data was then checked in the KIEMS. In 43% of such cases, the proper complementary mechanisms were not carried out, meaning there was not a proper record (on the KIEMS or on paper).</w:t>
      </w:r>
      <w:r w:rsidR="006B23E0" w:rsidRPr="002D2B73">
        <w:rPr>
          <w:rStyle w:val="FootnoteReference"/>
          <w:i/>
          <w:sz w:val="22"/>
          <w:szCs w:val="22"/>
        </w:rPr>
        <w:footnoteReference w:id="14"/>
      </w:r>
      <w:r w:rsidR="006B23E0" w:rsidRPr="002D2B73">
        <w:rPr>
          <w:i/>
          <w:sz w:val="22"/>
          <w:szCs w:val="22"/>
        </w:rPr>
        <w:t>”</w:t>
      </w:r>
      <w:r w:rsidR="006B23E0">
        <w:rPr>
          <w:i/>
          <w:sz w:val="22"/>
          <w:szCs w:val="22"/>
        </w:rPr>
        <w:t xml:space="preserve"> </w:t>
      </w:r>
      <w:r w:rsidR="006B23E0">
        <w:rPr>
          <w:sz w:val="22"/>
          <w:szCs w:val="22"/>
        </w:rPr>
        <w:t>Presiding officers were often not validating in the KIEMS voters who had been identified by their alphanumeric data alone (resulting in these voters not being accounted for</w:t>
      </w:r>
      <w:r w:rsidR="009A68F0">
        <w:rPr>
          <w:sz w:val="22"/>
          <w:szCs w:val="22"/>
        </w:rPr>
        <w:t xml:space="preserve"> in the KIEMS</w:t>
      </w:r>
      <w:r w:rsidR="006B23E0">
        <w:rPr>
          <w:sz w:val="22"/>
          <w:szCs w:val="22"/>
        </w:rPr>
        <w:t>). Polling stations did not consistently have sufficient 32A forms for recording such cases, resulting in some using the polling station diary, others not recording at all, and occasionally the voter register was</w:t>
      </w:r>
      <w:r w:rsidR="004F655D">
        <w:rPr>
          <w:sz w:val="22"/>
          <w:szCs w:val="22"/>
        </w:rPr>
        <w:t xml:space="preserve"> seen to be</w:t>
      </w:r>
      <w:r w:rsidR="006B23E0">
        <w:rPr>
          <w:sz w:val="22"/>
          <w:szCs w:val="22"/>
        </w:rPr>
        <w:t xml:space="preserve"> used. </w:t>
      </w:r>
      <w:r w:rsidR="006B23E0" w:rsidRPr="002D2B73">
        <w:rPr>
          <w:sz w:val="22"/>
          <w:szCs w:val="22"/>
        </w:rPr>
        <w:t xml:space="preserve">Weaknesses in recording who has voted risks increased errors and makes the issuing of ballots vulnerable to </w:t>
      </w:r>
      <w:r w:rsidR="006B23E0">
        <w:rPr>
          <w:sz w:val="22"/>
          <w:szCs w:val="22"/>
        </w:rPr>
        <w:t xml:space="preserve">potential </w:t>
      </w:r>
      <w:r w:rsidR="006B23E0" w:rsidRPr="002D2B73">
        <w:rPr>
          <w:sz w:val="22"/>
          <w:szCs w:val="22"/>
        </w:rPr>
        <w:t>manipulation.</w:t>
      </w:r>
      <w:r w:rsidR="006B23E0">
        <w:rPr>
          <w:sz w:val="22"/>
          <w:szCs w:val="22"/>
        </w:rPr>
        <w:t xml:space="preserve"> </w:t>
      </w:r>
    </w:p>
    <w:p w14:paraId="49CB4050" w14:textId="77777777" w:rsidR="006B23E0" w:rsidRDefault="006B23E0" w:rsidP="00900816">
      <w:pPr>
        <w:rPr>
          <w:b/>
          <w:i/>
          <w:color w:val="000000"/>
          <w:sz w:val="22"/>
          <w:szCs w:val="22"/>
        </w:rPr>
      </w:pPr>
    </w:p>
    <w:p w14:paraId="27AC3D5C" w14:textId="77777777" w:rsidR="002D2B73" w:rsidRDefault="005320BF" w:rsidP="002D2B73">
      <w:pPr>
        <w:numPr>
          <w:ilvl w:val="0"/>
          <w:numId w:val="30"/>
        </w:numPr>
        <w:rPr>
          <w:b/>
          <w:i/>
          <w:color w:val="000000"/>
          <w:sz w:val="22"/>
          <w:szCs w:val="22"/>
        </w:rPr>
      </w:pPr>
      <w:r w:rsidRPr="002D2B73">
        <w:rPr>
          <w:b/>
          <w:i/>
          <w:color w:val="000000"/>
          <w:sz w:val="22"/>
          <w:szCs w:val="22"/>
        </w:rPr>
        <w:t>Undertake full field pilot testing of procedures and technology. Provide public information on testing processes and results, and follow up with stakeholder discussion</w:t>
      </w:r>
    </w:p>
    <w:p w14:paraId="3A4F171B" w14:textId="77777777" w:rsidR="002D2B73" w:rsidRDefault="002D2B73" w:rsidP="002D2B73">
      <w:pPr>
        <w:ind w:left="360"/>
        <w:rPr>
          <w:b/>
          <w:i/>
          <w:color w:val="000000"/>
          <w:sz w:val="22"/>
          <w:szCs w:val="22"/>
        </w:rPr>
      </w:pPr>
    </w:p>
    <w:p w14:paraId="7EAE2C39" w14:textId="064028CB" w:rsidR="005320BF" w:rsidRPr="002D2B73" w:rsidRDefault="005320BF" w:rsidP="002D2B73">
      <w:pPr>
        <w:ind w:left="360"/>
        <w:rPr>
          <w:b/>
          <w:i/>
          <w:color w:val="000000"/>
          <w:sz w:val="22"/>
          <w:szCs w:val="22"/>
        </w:rPr>
      </w:pPr>
      <w:r w:rsidRPr="002D2B73">
        <w:rPr>
          <w:sz w:val="22"/>
          <w:szCs w:val="22"/>
        </w:rPr>
        <w:t>The EU EOM recommended in its Preliminary Statement that “</w:t>
      </w:r>
      <w:r w:rsidRPr="002D2B73">
        <w:rPr>
          <w:i/>
          <w:sz w:val="22"/>
          <w:szCs w:val="22"/>
        </w:rPr>
        <w:t>Any further use of technology be planned more in advance to allow for public consultation, field and security testing as well as training</w:t>
      </w:r>
      <w:r w:rsidRPr="002D2B73">
        <w:rPr>
          <w:sz w:val="22"/>
          <w:szCs w:val="22"/>
        </w:rPr>
        <w:t xml:space="preserve">.” </w:t>
      </w:r>
      <w:r w:rsidRPr="002D2B73">
        <w:rPr>
          <w:rFonts w:ascii="-webkit-standard" w:eastAsiaTheme="minorEastAsia" w:hAnsi="-webkit-standard"/>
          <w:color w:val="000000"/>
          <w:sz w:val="22"/>
          <w:szCs w:val="22"/>
        </w:rPr>
        <w:t xml:space="preserve">Both capacity and security testing is essential, particularly as reliance on (proprietary) technology increases. Pilot testing should consider technical compliance and also </w:t>
      </w:r>
      <w:r w:rsidRPr="002D2B73">
        <w:rPr>
          <w:rFonts w:ascii="-webkit-standard" w:eastAsiaTheme="minorEastAsia" w:hAnsi="-webkit-standard" w:hint="eastAsia"/>
          <w:color w:val="000000"/>
          <w:sz w:val="22"/>
          <w:szCs w:val="22"/>
        </w:rPr>
        <w:t>understanding</w:t>
      </w:r>
      <w:r w:rsidRPr="002D2B73">
        <w:rPr>
          <w:rFonts w:ascii="-webkit-standard" w:eastAsiaTheme="minorEastAsia" w:hAnsi="-webkit-standard"/>
          <w:color w:val="000000"/>
          <w:sz w:val="22"/>
          <w:szCs w:val="22"/>
        </w:rPr>
        <w:t xml:space="preserve"> and implementation of procedures by staff.</w:t>
      </w:r>
    </w:p>
    <w:p w14:paraId="7AE381F6" w14:textId="77777777" w:rsidR="005320BF" w:rsidRPr="002D2B73" w:rsidRDefault="005320BF" w:rsidP="005320BF">
      <w:pPr>
        <w:rPr>
          <w:i/>
          <w:color w:val="000000"/>
          <w:sz w:val="22"/>
          <w:szCs w:val="22"/>
        </w:rPr>
      </w:pPr>
    </w:p>
    <w:p w14:paraId="04FDB2EE" w14:textId="787CA04A" w:rsidR="005320BF" w:rsidRPr="002D2B73" w:rsidRDefault="005320BF" w:rsidP="005320BF">
      <w:pPr>
        <w:numPr>
          <w:ilvl w:val="0"/>
          <w:numId w:val="30"/>
        </w:numPr>
        <w:rPr>
          <w:b/>
          <w:i/>
          <w:color w:val="000000"/>
          <w:sz w:val="22"/>
          <w:szCs w:val="22"/>
        </w:rPr>
      </w:pPr>
      <w:r w:rsidRPr="002D2B73">
        <w:rPr>
          <w:b/>
          <w:i/>
          <w:color w:val="000000"/>
          <w:sz w:val="22"/>
          <w:szCs w:val="22"/>
        </w:rPr>
        <w:t xml:space="preserve">IEBC own and be fully responsible for critical </w:t>
      </w:r>
      <w:r w:rsidRPr="00B229A2">
        <w:rPr>
          <w:b/>
          <w:i/>
          <w:color w:val="000000"/>
          <w:sz w:val="22"/>
          <w:szCs w:val="22"/>
        </w:rPr>
        <w:t>ICT</w:t>
      </w:r>
      <w:r w:rsidR="00167E35" w:rsidRPr="00B229A2">
        <w:rPr>
          <w:b/>
          <w:i/>
          <w:color w:val="000000"/>
          <w:sz w:val="22"/>
          <w:szCs w:val="22"/>
        </w:rPr>
        <w:t xml:space="preserve"> results</w:t>
      </w:r>
      <w:r w:rsidRPr="00B229A2">
        <w:rPr>
          <w:b/>
          <w:i/>
          <w:color w:val="000000"/>
          <w:sz w:val="22"/>
          <w:szCs w:val="22"/>
        </w:rPr>
        <w:t xml:space="preserve"> systems</w:t>
      </w:r>
      <w:r w:rsidRPr="002D2B73">
        <w:rPr>
          <w:b/>
          <w:i/>
          <w:color w:val="000000"/>
          <w:sz w:val="22"/>
          <w:szCs w:val="22"/>
        </w:rPr>
        <w:t xml:space="preserve"> and information and allow controlled stakeholder access</w:t>
      </w:r>
    </w:p>
    <w:p w14:paraId="13C611FB" w14:textId="77777777" w:rsidR="005320BF" w:rsidRPr="002D2B73" w:rsidRDefault="005320BF" w:rsidP="005320BF">
      <w:pPr>
        <w:rPr>
          <w:color w:val="000000"/>
          <w:sz w:val="22"/>
          <w:szCs w:val="22"/>
        </w:rPr>
      </w:pPr>
    </w:p>
    <w:p w14:paraId="30AC8288" w14:textId="709F93AB" w:rsidR="005320BF" w:rsidRPr="00900816" w:rsidRDefault="00DF4005" w:rsidP="00900816">
      <w:pPr>
        <w:ind w:left="360"/>
        <w:rPr>
          <w:i/>
          <w:sz w:val="22"/>
          <w:szCs w:val="22"/>
        </w:rPr>
      </w:pPr>
      <w:r>
        <w:rPr>
          <w:rFonts w:ascii="-webkit-standard" w:eastAsiaTheme="minorEastAsia" w:hAnsi="-webkit-standard"/>
          <w:color w:val="000000"/>
          <w:sz w:val="22"/>
          <w:szCs w:val="22"/>
        </w:rPr>
        <w:t xml:space="preserve">Information </w:t>
      </w:r>
      <w:r w:rsidR="00AF1690">
        <w:rPr>
          <w:rFonts w:ascii="-webkit-standard" w:eastAsiaTheme="minorEastAsia" w:hAnsi="-webkit-standard"/>
          <w:color w:val="000000"/>
          <w:sz w:val="22"/>
          <w:szCs w:val="22"/>
        </w:rPr>
        <w:t>t</w:t>
      </w:r>
      <w:r w:rsidR="005320BF" w:rsidRPr="002D2B73">
        <w:rPr>
          <w:rFonts w:ascii="-webkit-standard" w:eastAsiaTheme="minorEastAsia" w:hAnsi="-webkit-standard"/>
          <w:color w:val="000000"/>
          <w:sz w:val="22"/>
          <w:szCs w:val="22"/>
        </w:rPr>
        <w:t>echnology has been</w:t>
      </w:r>
      <w:r w:rsidR="00F868C5">
        <w:rPr>
          <w:rFonts w:ascii="-webkit-standard" w:eastAsiaTheme="minorEastAsia" w:hAnsi="-webkit-standard"/>
          <w:color w:val="000000"/>
          <w:sz w:val="22"/>
          <w:szCs w:val="22"/>
        </w:rPr>
        <w:t xml:space="preserve"> used extensively </w:t>
      </w:r>
      <w:r w:rsidR="004F655D">
        <w:rPr>
          <w:rFonts w:ascii="-webkit-standard" w:eastAsiaTheme="minorEastAsia" w:hAnsi="-webkit-standard"/>
          <w:color w:val="000000"/>
          <w:sz w:val="22"/>
          <w:szCs w:val="22"/>
        </w:rPr>
        <w:t>and</w:t>
      </w:r>
      <w:r w:rsidR="00F868C5">
        <w:rPr>
          <w:rFonts w:ascii="-webkit-standard" w:eastAsiaTheme="minorEastAsia" w:hAnsi="-webkit-standard"/>
          <w:color w:val="000000"/>
          <w:sz w:val="22"/>
          <w:szCs w:val="22"/>
        </w:rPr>
        <w:t xml:space="preserve"> became</w:t>
      </w:r>
      <w:r w:rsidR="005320BF" w:rsidRPr="002D2B73">
        <w:rPr>
          <w:rFonts w:ascii="-webkit-standard" w:eastAsiaTheme="minorEastAsia" w:hAnsi="-webkit-standard"/>
          <w:color w:val="000000"/>
          <w:sz w:val="22"/>
          <w:szCs w:val="22"/>
        </w:rPr>
        <w:t xml:space="preserve"> extremely controversial during the electoral process, </w:t>
      </w:r>
      <w:r w:rsidR="004F655D">
        <w:rPr>
          <w:sz w:val="22"/>
          <w:szCs w:val="22"/>
        </w:rPr>
        <w:t>m</w:t>
      </w:r>
      <w:r w:rsidR="00900816">
        <w:rPr>
          <w:sz w:val="22"/>
          <w:szCs w:val="22"/>
        </w:rPr>
        <w:t>ade more so by the IEBC’s incomplete compliance with the Supreme Court’s orders</w:t>
      </w:r>
      <w:r w:rsidR="00900816">
        <w:rPr>
          <w:i/>
          <w:sz w:val="22"/>
          <w:szCs w:val="22"/>
        </w:rPr>
        <w:t xml:space="preserve"> </w:t>
      </w:r>
      <w:r w:rsidR="005320BF" w:rsidRPr="002D2B73">
        <w:rPr>
          <w:rFonts w:ascii="-webkit-standard" w:eastAsiaTheme="minorEastAsia" w:hAnsi="-webkit-standard"/>
          <w:color w:val="000000"/>
          <w:sz w:val="22"/>
          <w:szCs w:val="22"/>
        </w:rPr>
        <w:t xml:space="preserve">for ICT access. </w:t>
      </w:r>
      <w:r w:rsidR="005320BF" w:rsidRPr="002D2B73">
        <w:rPr>
          <w:rFonts w:ascii="-webkit-standard" w:eastAsiaTheme="minorEastAsia" w:hAnsi="-webkit-standard" w:hint="eastAsia"/>
          <w:color w:val="000000"/>
          <w:sz w:val="22"/>
          <w:szCs w:val="22"/>
        </w:rPr>
        <w:t>T</w:t>
      </w:r>
      <w:r w:rsidR="005320BF" w:rsidRPr="002D2B73">
        <w:rPr>
          <w:rFonts w:ascii="-webkit-standard" w:eastAsiaTheme="minorEastAsia" w:hAnsi="-webkit-standard"/>
          <w:color w:val="000000"/>
          <w:sz w:val="22"/>
          <w:szCs w:val="22"/>
        </w:rPr>
        <w:t xml:space="preserve">he IEBC did not allow the petitioners and the judiciary-appointed experts  </w:t>
      </w:r>
      <w:r w:rsidR="008632B8">
        <w:rPr>
          <w:rFonts w:ascii="-webkit-standard" w:eastAsiaTheme="minorEastAsia" w:hAnsi="-webkit-standard"/>
          <w:color w:val="000000"/>
          <w:sz w:val="22"/>
          <w:szCs w:val="22"/>
        </w:rPr>
        <w:t xml:space="preserve">access to </w:t>
      </w:r>
      <w:r w:rsidR="005320BF" w:rsidRPr="002D2B73">
        <w:rPr>
          <w:rFonts w:ascii="-webkit-standard" w:eastAsiaTheme="minorEastAsia" w:hAnsi="-webkit-standard"/>
          <w:color w:val="000000"/>
          <w:sz w:val="22"/>
          <w:szCs w:val="22"/>
        </w:rPr>
        <w:t xml:space="preserve">the IEBC </w:t>
      </w:r>
      <w:r w:rsidR="00BD5295">
        <w:rPr>
          <w:rFonts w:ascii="-webkit-standard" w:eastAsiaTheme="minorEastAsia" w:hAnsi="-webkit-standard"/>
          <w:color w:val="000000"/>
          <w:sz w:val="22"/>
          <w:szCs w:val="22"/>
        </w:rPr>
        <w:t xml:space="preserve">cloud </w:t>
      </w:r>
      <w:r w:rsidR="005320BF" w:rsidRPr="002D2B73">
        <w:rPr>
          <w:rFonts w:ascii="-webkit-standard" w:eastAsiaTheme="minorEastAsia" w:hAnsi="-webkit-standard"/>
          <w:color w:val="000000"/>
          <w:sz w:val="22"/>
          <w:szCs w:val="22"/>
        </w:rPr>
        <w:t>servers or the configuration of the external and internal firewalls</w:t>
      </w:r>
      <w:r w:rsidR="008632B8">
        <w:rPr>
          <w:rFonts w:ascii="-webkit-standard" w:eastAsiaTheme="minorEastAsia" w:hAnsi="-webkit-standard"/>
          <w:color w:val="000000"/>
          <w:sz w:val="22"/>
          <w:szCs w:val="22"/>
        </w:rPr>
        <w:t xml:space="preserve">. </w:t>
      </w:r>
      <w:r w:rsidR="0006546D">
        <w:rPr>
          <w:rFonts w:ascii="-webkit-standard" w:eastAsiaTheme="minorEastAsia" w:hAnsi="-webkit-standard"/>
          <w:color w:val="000000"/>
          <w:sz w:val="22"/>
          <w:szCs w:val="22"/>
        </w:rPr>
        <w:t xml:space="preserve">Access was </w:t>
      </w:r>
      <w:r w:rsidR="004F655D">
        <w:rPr>
          <w:rFonts w:ascii="-webkit-standard" w:eastAsiaTheme="minorEastAsia" w:hAnsi="-webkit-standard"/>
          <w:color w:val="000000"/>
          <w:sz w:val="22"/>
          <w:szCs w:val="22"/>
        </w:rPr>
        <w:t xml:space="preserve">further </w:t>
      </w:r>
      <w:r w:rsidR="0006546D">
        <w:rPr>
          <w:rFonts w:ascii="-webkit-standard" w:eastAsiaTheme="minorEastAsia" w:hAnsi="-webkit-standard"/>
          <w:color w:val="000000"/>
          <w:sz w:val="22"/>
          <w:szCs w:val="22"/>
        </w:rPr>
        <w:t>frustrated by the IEBC not</w:t>
      </w:r>
      <w:r w:rsidR="008632B8">
        <w:rPr>
          <w:rFonts w:ascii="-webkit-standard" w:eastAsiaTheme="minorEastAsia" w:hAnsi="-webkit-standard"/>
          <w:color w:val="000000"/>
          <w:sz w:val="22"/>
          <w:szCs w:val="22"/>
        </w:rPr>
        <w:t xml:space="preserve"> giving access to server logs</w:t>
      </w:r>
      <w:r w:rsidR="0006546D">
        <w:rPr>
          <w:rFonts w:ascii="-webkit-standard" w:eastAsiaTheme="minorEastAsia" w:hAnsi="-webkit-standard"/>
          <w:color w:val="000000"/>
          <w:sz w:val="22"/>
          <w:szCs w:val="22"/>
        </w:rPr>
        <w:t xml:space="preserve"> (on a read-only basis)</w:t>
      </w:r>
      <w:r w:rsidR="008632B8">
        <w:rPr>
          <w:rFonts w:ascii="-webkit-standard" w:eastAsiaTheme="minorEastAsia" w:hAnsi="-webkit-standard"/>
          <w:color w:val="000000"/>
          <w:sz w:val="22"/>
          <w:szCs w:val="22"/>
        </w:rPr>
        <w:t xml:space="preserve">, </w:t>
      </w:r>
      <w:r w:rsidR="0006546D">
        <w:rPr>
          <w:rFonts w:ascii="-webkit-standard" w:eastAsiaTheme="minorEastAsia" w:hAnsi="-webkit-standard"/>
          <w:color w:val="000000"/>
          <w:sz w:val="22"/>
          <w:szCs w:val="22"/>
        </w:rPr>
        <w:t xml:space="preserve">but instead only giving </w:t>
      </w:r>
      <w:r w:rsidR="008632B8">
        <w:rPr>
          <w:rFonts w:ascii="-webkit-standard" w:eastAsiaTheme="minorEastAsia" w:hAnsi="-webkit-standard"/>
          <w:color w:val="000000"/>
          <w:sz w:val="22"/>
          <w:szCs w:val="22"/>
        </w:rPr>
        <w:t>pre</w:t>
      </w:r>
      <w:r w:rsidR="005320BF" w:rsidRPr="002D2B73">
        <w:rPr>
          <w:rFonts w:ascii="-webkit-standard" w:eastAsiaTheme="minorEastAsia" w:hAnsi="-webkit-standard"/>
          <w:color w:val="000000"/>
          <w:sz w:val="22"/>
          <w:szCs w:val="22"/>
        </w:rPr>
        <w:t xml:space="preserve">-downloaded data. </w:t>
      </w:r>
      <w:r w:rsidR="00F868C5">
        <w:rPr>
          <w:rFonts w:eastAsia="Calibri"/>
          <w:color w:val="000000"/>
          <w:sz w:val="22"/>
          <w:szCs w:val="22"/>
          <w:lang w:val="en-US"/>
        </w:rPr>
        <w:t>E</w:t>
      </w:r>
      <w:r w:rsidR="00BD5295" w:rsidRPr="004664B7">
        <w:rPr>
          <w:rFonts w:eastAsia="Calibri"/>
          <w:color w:val="000000"/>
          <w:sz w:val="22"/>
          <w:szCs w:val="22"/>
          <w:lang w:val="en-US"/>
        </w:rPr>
        <w:t xml:space="preserve">nhanced </w:t>
      </w:r>
      <w:r w:rsidR="005B52DD">
        <w:rPr>
          <w:rFonts w:eastAsia="Calibri"/>
          <w:color w:val="000000"/>
          <w:sz w:val="22"/>
          <w:szCs w:val="22"/>
          <w:lang w:val="en-US"/>
        </w:rPr>
        <w:t xml:space="preserve">IEBC </w:t>
      </w:r>
      <w:r w:rsidR="00BD5295" w:rsidRPr="004664B7">
        <w:rPr>
          <w:rFonts w:eastAsia="Calibri"/>
          <w:color w:val="000000"/>
          <w:sz w:val="22"/>
          <w:szCs w:val="22"/>
          <w:lang w:val="en-US"/>
        </w:rPr>
        <w:t xml:space="preserve">ownership </w:t>
      </w:r>
      <w:r w:rsidR="00F868C5">
        <w:rPr>
          <w:rFonts w:eastAsia="Calibri"/>
          <w:color w:val="000000"/>
          <w:sz w:val="22"/>
          <w:szCs w:val="22"/>
          <w:lang w:val="en-US"/>
        </w:rPr>
        <w:t xml:space="preserve">and security </w:t>
      </w:r>
      <w:r w:rsidR="00BD5295" w:rsidRPr="004664B7">
        <w:rPr>
          <w:rFonts w:eastAsia="Calibri"/>
          <w:color w:val="000000"/>
          <w:sz w:val="22"/>
          <w:szCs w:val="22"/>
          <w:lang w:val="en-US"/>
        </w:rPr>
        <w:t>of its processes</w:t>
      </w:r>
      <w:r w:rsidR="00F868C5">
        <w:rPr>
          <w:rFonts w:eastAsia="Calibri"/>
          <w:color w:val="000000"/>
          <w:sz w:val="22"/>
          <w:szCs w:val="22"/>
          <w:lang w:val="en-US"/>
        </w:rPr>
        <w:t>, protection of personal and other sensitive data, and the integrity of the processes through ICT are vital</w:t>
      </w:r>
      <w:r w:rsidR="00BD5295" w:rsidRPr="004664B7">
        <w:rPr>
          <w:rFonts w:eastAsia="Calibri"/>
          <w:color w:val="000000"/>
          <w:sz w:val="22"/>
          <w:szCs w:val="22"/>
          <w:lang w:val="en-US"/>
        </w:rPr>
        <w:t>. </w:t>
      </w:r>
    </w:p>
    <w:p w14:paraId="651865A9" w14:textId="77777777" w:rsidR="005320BF" w:rsidRPr="002D2B73" w:rsidRDefault="005320BF" w:rsidP="005320BF">
      <w:pPr>
        <w:ind w:left="360"/>
        <w:rPr>
          <w:rFonts w:ascii="-webkit-standard" w:eastAsiaTheme="minorEastAsia" w:hAnsi="-webkit-standard" w:hint="eastAsia"/>
          <w:color w:val="000000"/>
          <w:sz w:val="22"/>
          <w:szCs w:val="22"/>
        </w:rPr>
      </w:pPr>
    </w:p>
    <w:p w14:paraId="6C658D89" w14:textId="34F0E857" w:rsidR="008D5564" w:rsidRPr="00B229A2" w:rsidRDefault="005320BF" w:rsidP="00B229A2">
      <w:pPr>
        <w:ind w:left="360"/>
        <w:rPr>
          <w:i/>
          <w:color w:val="000000"/>
          <w:sz w:val="22"/>
          <w:szCs w:val="22"/>
        </w:rPr>
      </w:pPr>
      <w:r w:rsidRPr="002D2B73">
        <w:rPr>
          <w:rFonts w:ascii="-webkit-standard" w:eastAsiaTheme="minorEastAsia" w:hAnsi="-webkit-standard"/>
          <w:color w:val="000000"/>
          <w:sz w:val="22"/>
          <w:szCs w:val="22"/>
        </w:rPr>
        <w:t xml:space="preserve">The IEBC must provide for independent audits of any technologies that are used in the election process in order to </w:t>
      </w:r>
      <w:r w:rsidR="00AF1690">
        <w:rPr>
          <w:rFonts w:ascii="-webkit-standard" w:eastAsiaTheme="minorEastAsia" w:hAnsi="-webkit-standard"/>
          <w:color w:val="000000"/>
          <w:sz w:val="22"/>
          <w:szCs w:val="22"/>
        </w:rPr>
        <w:t>ensure</w:t>
      </w:r>
      <w:r w:rsidR="00AF1690" w:rsidRPr="002D2B73">
        <w:rPr>
          <w:rFonts w:ascii="-webkit-standard" w:eastAsiaTheme="minorEastAsia" w:hAnsi="-webkit-standard"/>
          <w:color w:val="000000"/>
          <w:sz w:val="22"/>
          <w:szCs w:val="22"/>
        </w:rPr>
        <w:t xml:space="preserve"> </w:t>
      </w:r>
      <w:r w:rsidRPr="002D2B73">
        <w:rPr>
          <w:rFonts w:ascii="-webkit-standard" w:eastAsiaTheme="minorEastAsia" w:hAnsi="-webkit-standard"/>
          <w:color w:val="000000"/>
          <w:sz w:val="22"/>
          <w:szCs w:val="22"/>
        </w:rPr>
        <w:t xml:space="preserve">the proper checks and balances needed in a democratic </w:t>
      </w:r>
      <w:r w:rsidR="00AF1690">
        <w:rPr>
          <w:rFonts w:ascii="-webkit-standard" w:eastAsiaTheme="minorEastAsia" w:hAnsi="-webkit-standard"/>
          <w:color w:val="000000"/>
          <w:sz w:val="22"/>
          <w:szCs w:val="22"/>
        </w:rPr>
        <w:t>election</w:t>
      </w:r>
      <w:r w:rsidRPr="002D2B73">
        <w:rPr>
          <w:rFonts w:ascii="-webkit-standard" w:eastAsiaTheme="minorEastAsia" w:hAnsi="-webkit-standard"/>
          <w:color w:val="000000"/>
          <w:sz w:val="22"/>
          <w:szCs w:val="22"/>
        </w:rPr>
        <w:t>. T</w:t>
      </w:r>
      <w:r w:rsidR="00AF1690">
        <w:rPr>
          <w:rFonts w:ascii="-webkit-standard" w:eastAsiaTheme="minorEastAsia" w:hAnsi="-webkit-standard"/>
          <w:color w:val="000000"/>
          <w:sz w:val="22"/>
          <w:szCs w:val="22"/>
        </w:rPr>
        <w:t>he</w:t>
      </w:r>
      <w:r w:rsidRPr="002D2B73">
        <w:rPr>
          <w:rFonts w:ascii="-webkit-standard" w:eastAsiaTheme="minorEastAsia" w:hAnsi="-webkit-standard"/>
          <w:color w:val="000000"/>
          <w:sz w:val="22"/>
          <w:szCs w:val="22"/>
        </w:rPr>
        <w:t xml:space="preserve"> contractual terms between the IEBC and private companies must </w:t>
      </w:r>
      <w:r w:rsidR="005B52DD">
        <w:rPr>
          <w:rFonts w:ascii="-webkit-standard" w:eastAsiaTheme="minorEastAsia" w:hAnsi="-webkit-standard"/>
          <w:color w:val="000000"/>
          <w:sz w:val="22"/>
          <w:szCs w:val="22"/>
        </w:rPr>
        <w:t xml:space="preserve">standardly </w:t>
      </w:r>
      <w:r w:rsidRPr="002D2B73">
        <w:rPr>
          <w:rFonts w:ascii="-webkit-standard" w:eastAsiaTheme="minorEastAsia" w:hAnsi="-webkit-standard"/>
          <w:color w:val="000000"/>
          <w:sz w:val="22"/>
          <w:szCs w:val="22"/>
        </w:rPr>
        <w:t>provide for such scrutiny</w:t>
      </w:r>
      <w:r w:rsidR="00AF1690">
        <w:rPr>
          <w:rFonts w:ascii="-webkit-standard" w:eastAsiaTheme="minorEastAsia" w:hAnsi="-webkit-standard"/>
          <w:color w:val="000000"/>
          <w:sz w:val="22"/>
          <w:szCs w:val="22"/>
        </w:rPr>
        <w:t xml:space="preserve"> as part of the overall IEBC mandate</w:t>
      </w:r>
      <w:r w:rsidRPr="002D2B73">
        <w:rPr>
          <w:rFonts w:ascii="-webkit-standard" w:eastAsiaTheme="minorEastAsia" w:hAnsi="-webkit-standard"/>
          <w:color w:val="000000"/>
          <w:sz w:val="22"/>
          <w:szCs w:val="22"/>
        </w:rPr>
        <w:t>. Procedures to access election-related data must be clearly established and subject to independent oversight (especially given the lack of data protection laws in Kenya).</w:t>
      </w:r>
      <w:r w:rsidR="00450D05">
        <w:rPr>
          <w:rFonts w:ascii="-webkit-standard" w:eastAsiaTheme="minorEastAsia" w:hAnsi="-webkit-standard"/>
          <w:color w:val="000000"/>
          <w:sz w:val="22"/>
          <w:szCs w:val="22"/>
        </w:rPr>
        <w:t xml:space="preserve"> </w:t>
      </w:r>
    </w:p>
    <w:p w14:paraId="361CD1AE" w14:textId="77777777" w:rsidR="005320BF" w:rsidRPr="002D2B73" w:rsidRDefault="005320BF" w:rsidP="005320BF">
      <w:pPr>
        <w:rPr>
          <w:i/>
          <w:color w:val="000000"/>
          <w:sz w:val="22"/>
          <w:szCs w:val="22"/>
          <w:u w:val="single"/>
        </w:rPr>
      </w:pPr>
      <w:r w:rsidRPr="002D2B73">
        <w:rPr>
          <w:i/>
          <w:color w:val="000000"/>
          <w:sz w:val="22"/>
          <w:szCs w:val="22"/>
          <w:u w:val="single"/>
        </w:rPr>
        <w:lastRenderedPageBreak/>
        <w:t>For political contenders:</w:t>
      </w:r>
    </w:p>
    <w:p w14:paraId="0AA4DB7A" w14:textId="77777777" w:rsidR="005320BF" w:rsidRPr="002D2B73" w:rsidRDefault="005320BF" w:rsidP="005320BF">
      <w:pPr>
        <w:rPr>
          <w:i/>
          <w:color w:val="000000"/>
          <w:sz w:val="22"/>
          <w:szCs w:val="22"/>
        </w:rPr>
      </w:pPr>
    </w:p>
    <w:p w14:paraId="718493EF" w14:textId="77777777" w:rsidR="005320BF" w:rsidRPr="002D2B73" w:rsidRDefault="005320BF" w:rsidP="005320BF">
      <w:pPr>
        <w:pStyle w:val="ListParagraph"/>
        <w:numPr>
          <w:ilvl w:val="0"/>
          <w:numId w:val="30"/>
        </w:numPr>
        <w:contextualSpacing/>
        <w:jc w:val="left"/>
        <w:rPr>
          <w:b/>
          <w:i/>
          <w:color w:val="000000"/>
          <w:sz w:val="22"/>
          <w:szCs w:val="22"/>
        </w:rPr>
      </w:pPr>
      <w:r w:rsidRPr="002D2B73">
        <w:rPr>
          <w:b/>
          <w:i/>
          <w:color w:val="000000"/>
          <w:sz w:val="22"/>
          <w:szCs w:val="22"/>
        </w:rPr>
        <w:t>Organise agents in each tallying centre and polling stations and check results accordingly</w:t>
      </w:r>
    </w:p>
    <w:p w14:paraId="062C3602" w14:textId="77777777" w:rsidR="005320BF" w:rsidRPr="002D2B73" w:rsidRDefault="005320BF" w:rsidP="005320BF">
      <w:pPr>
        <w:pStyle w:val="ListParagraph"/>
        <w:ind w:left="360"/>
        <w:rPr>
          <w:i/>
          <w:color w:val="000000"/>
          <w:sz w:val="22"/>
          <w:szCs w:val="22"/>
        </w:rPr>
      </w:pPr>
    </w:p>
    <w:p w14:paraId="692099B4" w14:textId="2ED85442" w:rsidR="005320BF" w:rsidRPr="002D2B73" w:rsidRDefault="005320BF" w:rsidP="005320BF">
      <w:pPr>
        <w:ind w:left="371"/>
        <w:rPr>
          <w:sz w:val="22"/>
          <w:szCs w:val="22"/>
        </w:rPr>
      </w:pPr>
      <w:r w:rsidRPr="002D2B73">
        <w:rPr>
          <w:sz w:val="22"/>
          <w:szCs w:val="22"/>
        </w:rPr>
        <w:t xml:space="preserve">Agents </w:t>
      </w:r>
      <w:r w:rsidR="002B51DC">
        <w:rPr>
          <w:sz w:val="22"/>
          <w:szCs w:val="22"/>
        </w:rPr>
        <w:t>are an</w:t>
      </w:r>
      <w:r w:rsidR="00F868C5">
        <w:rPr>
          <w:sz w:val="22"/>
          <w:szCs w:val="22"/>
        </w:rPr>
        <w:t xml:space="preserve"> important</w:t>
      </w:r>
      <w:r w:rsidR="00AF1690">
        <w:rPr>
          <w:sz w:val="22"/>
          <w:szCs w:val="22"/>
        </w:rPr>
        <w:t xml:space="preserve"> </w:t>
      </w:r>
      <w:r w:rsidRPr="002D2B73">
        <w:rPr>
          <w:sz w:val="22"/>
          <w:szCs w:val="22"/>
        </w:rPr>
        <w:t xml:space="preserve">check, particularly given that once results are declared in polling stations and in constituency/county tallying centres, they are final and cannot be changed (except through a court petition process). </w:t>
      </w:r>
      <w:r w:rsidR="00BD5295">
        <w:rPr>
          <w:sz w:val="22"/>
          <w:szCs w:val="22"/>
        </w:rPr>
        <w:t>The presence of agents in as many polling stations as possible</w:t>
      </w:r>
      <w:r w:rsidR="00F868C5">
        <w:rPr>
          <w:sz w:val="22"/>
          <w:szCs w:val="22"/>
        </w:rPr>
        <w:t xml:space="preserve">, </w:t>
      </w:r>
      <w:r w:rsidR="00BD5295">
        <w:rPr>
          <w:sz w:val="22"/>
          <w:szCs w:val="22"/>
        </w:rPr>
        <w:t>reduces risk of controversy over the results.</w:t>
      </w:r>
    </w:p>
    <w:p w14:paraId="22B58A53" w14:textId="77777777" w:rsidR="005320BF" w:rsidRPr="002D2B73" w:rsidRDefault="005320BF" w:rsidP="005320BF">
      <w:pPr>
        <w:ind w:left="371"/>
        <w:rPr>
          <w:sz w:val="22"/>
          <w:szCs w:val="22"/>
        </w:rPr>
      </w:pPr>
    </w:p>
    <w:p w14:paraId="29885644" w14:textId="3BC7F77B" w:rsidR="005320BF" w:rsidRPr="002D2B73" w:rsidRDefault="005320BF" w:rsidP="006058C2">
      <w:pPr>
        <w:ind w:left="371"/>
        <w:rPr>
          <w:sz w:val="22"/>
          <w:szCs w:val="22"/>
        </w:rPr>
      </w:pPr>
      <w:r w:rsidRPr="002D2B73">
        <w:rPr>
          <w:sz w:val="22"/>
          <w:szCs w:val="22"/>
        </w:rPr>
        <w:t xml:space="preserve">EU EOM observers found </w:t>
      </w:r>
      <w:r w:rsidR="00AF1690">
        <w:rPr>
          <w:sz w:val="22"/>
          <w:szCs w:val="22"/>
        </w:rPr>
        <w:t xml:space="preserve">considerable </w:t>
      </w:r>
      <w:r w:rsidRPr="002D2B73">
        <w:rPr>
          <w:sz w:val="22"/>
          <w:szCs w:val="22"/>
        </w:rPr>
        <w:t>gaps in coverage by party/candidate agents of polling stations and tallying centres. For example, during polling EOM observers did not see Jubilee agents in 6% of visited stations in strongholds of the National Super Alliance (NASA), and did not see NASA agents in 27% of visited stations in Jubilee strongholds. During tallying, NASA agents were absent from 4 of the 46 observed tallying centres and Jubilee agents were absent from 5. Of the total 290 34B scanned forms scrutinized by the EU EOM, it appears that Jubilee agents had not signed 25%, and NASA agents had not signed 29% (in some cases there were other signatures that were not identified as belonging to a particular party or candidate).</w:t>
      </w:r>
      <w:r w:rsidRPr="002D2B73">
        <w:rPr>
          <w:rStyle w:val="FootnoteReference"/>
          <w:sz w:val="22"/>
          <w:szCs w:val="22"/>
        </w:rPr>
        <w:footnoteReference w:id="15"/>
      </w:r>
      <w:r w:rsidR="00AF1690">
        <w:rPr>
          <w:sz w:val="22"/>
          <w:szCs w:val="22"/>
        </w:rPr>
        <w:t xml:space="preserve"> </w:t>
      </w:r>
      <w:r w:rsidR="005B52DD">
        <w:rPr>
          <w:sz w:val="22"/>
          <w:szCs w:val="22"/>
        </w:rPr>
        <w:t>On election day t</w:t>
      </w:r>
      <w:r w:rsidR="006058C2" w:rsidRPr="00BD5295">
        <w:rPr>
          <w:sz w:val="22"/>
          <w:szCs w:val="22"/>
        </w:rPr>
        <w:t>he EU EOM did not receive reports from either camp of manipulations or agents being unable to work</w:t>
      </w:r>
      <w:r w:rsidR="005B52DD">
        <w:rPr>
          <w:sz w:val="22"/>
          <w:szCs w:val="22"/>
        </w:rPr>
        <w:t>.</w:t>
      </w:r>
      <w:r w:rsidR="006058C2" w:rsidRPr="00BD5295">
        <w:rPr>
          <w:sz w:val="22"/>
          <w:szCs w:val="22"/>
        </w:rPr>
        <w:t xml:space="preserve"> </w:t>
      </w:r>
    </w:p>
    <w:p w14:paraId="6E622673" w14:textId="77777777" w:rsidR="005320BF" w:rsidRPr="002D2B73" w:rsidRDefault="005320BF" w:rsidP="005320BF">
      <w:pPr>
        <w:pStyle w:val="ListParagraph"/>
        <w:ind w:left="360"/>
        <w:rPr>
          <w:i/>
          <w:color w:val="000000"/>
          <w:sz w:val="22"/>
          <w:szCs w:val="22"/>
        </w:rPr>
      </w:pPr>
    </w:p>
    <w:p w14:paraId="4669E903" w14:textId="4EBC80DA" w:rsidR="005320BF" w:rsidRPr="002D2B73" w:rsidRDefault="005320BF" w:rsidP="005320BF">
      <w:pPr>
        <w:pStyle w:val="ListParagraph"/>
        <w:numPr>
          <w:ilvl w:val="0"/>
          <w:numId w:val="30"/>
        </w:numPr>
        <w:contextualSpacing/>
        <w:rPr>
          <w:i/>
          <w:color w:val="000000"/>
          <w:sz w:val="22"/>
          <w:szCs w:val="22"/>
        </w:rPr>
      </w:pPr>
      <w:r w:rsidRPr="002D2B73">
        <w:rPr>
          <w:b/>
          <w:i/>
          <w:color w:val="000000"/>
          <w:sz w:val="22"/>
          <w:szCs w:val="22"/>
        </w:rPr>
        <w:t xml:space="preserve">Respect institutions </w:t>
      </w:r>
    </w:p>
    <w:p w14:paraId="681CECD5" w14:textId="77777777" w:rsidR="005320BF" w:rsidRPr="002D2B73" w:rsidRDefault="005320BF" w:rsidP="005320BF">
      <w:pPr>
        <w:pStyle w:val="ListParagraph"/>
        <w:ind w:left="360"/>
        <w:rPr>
          <w:b/>
          <w:i/>
          <w:color w:val="000000"/>
          <w:sz w:val="22"/>
          <w:szCs w:val="22"/>
        </w:rPr>
      </w:pPr>
    </w:p>
    <w:p w14:paraId="38B691ED" w14:textId="016E0AB8" w:rsidR="005320BF" w:rsidRPr="002D2B73" w:rsidRDefault="005320BF" w:rsidP="005320BF">
      <w:pPr>
        <w:ind w:left="371"/>
        <w:rPr>
          <w:sz w:val="22"/>
          <w:szCs w:val="22"/>
        </w:rPr>
      </w:pPr>
      <w:r w:rsidRPr="002D2B73">
        <w:rPr>
          <w:color w:val="000000"/>
          <w:sz w:val="22"/>
          <w:szCs w:val="22"/>
        </w:rPr>
        <w:t xml:space="preserve">The headline of the EU EOM’s Preliminary Statement </w:t>
      </w:r>
      <w:r w:rsidR="005B52DD">
        <w:rPr>
          <w:color w:val="000000"/>
          <w:sz w:val="22"/>
          <w:szCs w:val="22"/>
        </w:rPr>
        <w:t>referred to</w:t>
      </w:r>
      <w:r w:rsidRPr="002D2B73">
        <w:rPr>
          <w:color w:val="000000"/>
          <w:sz w:val="22"/>
          <w:szCs w:val="22"/>
        </w:rPr>
        <w:t xml:space="preserve"> “</w:t>
      </w:r>
      <w:r w:rsidRPr="002D2B73">
        <w:rPr>
          <w:i/>
          <w:color w:val="000000"/>
          <w:sz w:val="22"/>
          <w:szCs w:val="22"/>
        </w:rPr>
        <w:t>parties’ forceful criticism of key institutions</w:t>
      </w:r>
      <w:r w:rsidRPr="002D2B73">
        <w:rPr>
          <w:color w:val="000000"/>
          <w:sz w:val="22"/>
          <w:szCs w:val="22"/>
        </w:rPr>
        <w:t>”, and the report noted that “</w:t>
      </w:r>
      <w:r w:rsidRPr="002D2B73">
        <w:rPr>
          <w:i/>
          <w:sz w:val="22"/>
          <w:szCs w:val="22"/>
        </w:rPr>
        <w:t>The persistent criticism of the integrity and neutrality of state institutions has negatively affected confidence in the election.”</w:t>
      </w:r>
      <w:r w:rsidRPr="002D2B73">
        <w:rPr>
          <w:rStyle w:val="FootnoteReference"/>
          <w:i/>
          <w:sz w:val="22"/>
          <w:szCs w:val="22"/>
        </w:rPr>
        <w:footnoteReference w:id="16"/>
      </w:r>
      <w:r w:rsidRPr="002D2B73">
        <w:rPr>
          <w:sz w:val="22"/>
          <w:szCs w:val="22"/>
        </w:rPr>
        <w:t xml:space="preserve"> Undermining state institutions’ independence</w:t>
      </w:r>
      <w:r w:rsidR="00F868C5">
        <w:rPr>
          <w:sz w:val="22"/>
          <w:szCs w:val="22"/>
        </w:rPr>
        <w:t xml:space="preserve">, including the judiciary, </w:t>
      </w:r>
      <w:r w:rsidRPr="002D2B73">
        <w:rPr>
          <w:sz w:val="22"/>
          <w:szCs w:val="22"/>
        </w:rPr>
        <w:t xml:space="preserve">threatens </w:t>
      </w:r>
      <w:r w:rsidR="00F868C5">
        <w:rPr>
          <w:sz w:val="22"/>
          <w:szCs w:val="22"/>
        </w:rPr>
        <w:t>the rule of law</w:t>
      </w:r>
      <w:r w:rsidR="002B51DC">
        <w:rPr>
          <w:sz w:val="22"/>
          <w:szCs w:val="22"/>
        </w:rPr>
        <w:t>,</w:t>
      </w:r>
      <w:r w:rsidR="00F868C5">
        <w:rPr>
          <w:sz w:val="22"/>
          <w:szCs w:val="22"/>
        </w:rPr>
        <w:t xml:space="preserve"> </w:t>
      </w:r>
      <w:r w:rsidRPr="002D2B73">
        <w:rPr>
          <w:sz w:val="22"/>
          <w:szCs w:val="22"/>
        </w:rPr>
        <w:t>democratic order and effective</w:t>
      </w:r>
      <w:r w:rsidR="00F868C5">
        <w:rPr>
          <w:sz w:val="22"/>
          <w:szCs w:val="22"/>
        </w:rPr>
        <w:t xml:space="preserve"> governance</w:t>
      </w:r>
      <w:r w:rsidRPr="002D2B73">
        <w:rPr>
          <w:sz w:val="22"/>
          <w:szCs w:val="22"/>
        </w:rPr>
        <w:t>.</w:t>
      </w:r>
    </w:p>
    <w:p w14:paraId="4F09162D" w14:textId="77777777" w:rsidR="005320BF" w:rsidRPr="002D2B73" w:rsidRDefault="005320BF" w:rsidP="005320BF">
      <w:pPr>
        <w:ind w:left="371"/>
        <w:rPr>
          <w:sz w:val="22"/>
          <w:szCs w:val="22"/>
        </w:rPr>
      </w:pPr>
    </w:p>
    <w:p w14:paraId="2AA49776" w14:textId="425C6391" w:rsidR="005320BF" w:rsidRPr="002D2B73" w:rsidRDefault="005320BF" w:rsidP="005320BF">
      <w:pPr>
        <w:ind w:left="371"/>
        <w:rPr>
          <w:sz w:val="22"/>
          <w:szCs w:val="22"/>
        </w:rPr>
      </w:pPr>
      <w:r w:rsidRPr="002D2B73">
        <w:rPr>
          <w:sz w:val="22"/>
          <w:szCs w:val="22"/>
        </w:rPr>
        <w:t xml:space="preserve">Since the election, NASA and Jubilee have at times been undermining the IEBC and the judiciary respectively. NASA leaders have referred to the IEBC as </w:t>
      </w:r>
      <w:r w:rsidRPr="00660FC4">
        <w:rPr>
          <w:sz w:val="22"/>
          <w:szCs w:val="22"/>
        </w:rPr>
        <w:t>being “</w:t>
      </w:r>
      <w:r w:rsidRPr="00660FC4">
        <w:rPr>
          <w:i/>
          <w:sz w:val="22"/>
          <w:szCs w:val="22"/>
        </w:rPr>
        <w:t>taken over by criminals</w:t>
      </w:r>
      <w:r w:rsidRPr="00660FC4">
        <w:rPr>
          <w:sz w:val="22"/>
          <w:szCs w:val="22"/>
        </w:rPr>
        <w:t>” (</w:t>
      </w:r>
      <w:r w:rsidRPr="002D2B73">
        <w:rPr>
          <w:sz w:val="22"/>
          <w:szCs w:val="22"/>
        </w:rPr>
        <w:t>1 September 2017)</w:t>
      </w:r>
      <w:r w:rsidRPr="002D2B73">
        <w:rPr>
          <w:color w:val="000000"/>
          <w:sz w:val="22"/>
          <w:szCs w:val="22"/>
        </w:rPr>
        <w:t>. Just after the Supreme Court ruling, President Kenyatta referred to the judges as “</w:t>
      </w:r>
      <w:r w:rsidRPr="002D2B73">
        <w:rPr>
          <w:i/>
          <w:color w:val="000000"/>
          <w:sz w:val="22"/>
          <w:szCs w:val="22"/>
        </w:rPr>
        <w:t>crooks</w:t>
      </w:r>
      <w:r w:rsidRPr="002D2B73">
        <w:rPr>
          <w:color w:val="000000"/>
          <w:sz w:val="22"/>
          <w:szCs w:val="22"/>
        </w:rPr>
        <w:t>” and stated “</w:t>
      </w:r>
      <w:r w:rsidRPr="002D2B73">
        <w:rPr>
          <w:i/>
          <w:sz w:val="22"/>
          <w:szCs w:val="22"/>
        </w:rPr>
        <w:t xml:space="preserve">I have always said, there is a problem with our judiciary though we respect it. However, we shall re-visit that.” </w:t>
      </w:r>
      <w:r w:rsidRPr="002D2B73">
        <w:rPr>
          <w:sz w:val="22"/>
          <w:szCs w:val="22"/>
        </w:rPr>
        <w:t xml:space="preserve">This has been followed by similar remarks from other Jubilee leaders. </w:t>
      </w:r>
    </w:p>
    <w:p w14:paraId="07535EEA" w14:textId="77777777" w:rsidR="005320BF" w:rsidRPr="002D2B73" w:rsidRDefault="005320BF" w:rsidP="005320BF">
      <w:pPr>
        <w:ind w:left="371"/>
        <w:rPr>
          <w:sz w:val="22"/>
          <w:szCs w:val="22"/>
        </w:rPr>
      </w:pPr>
    </w:p>
    <w:p w14:paraId="246CF0B4" w14:textId="74EB5041" w:rsidR="005320BF" w:rsidRPr="002D2B73" w:rsidRDefault="008D6A80" w:rsidP="005320BF">
      <w:pPr>
        <w:ind w:left="371"/>
        <w:rPr>
          <w:sz w:val="22"/>
          <w:szCs w:val="22"/>
        </w:rPr>
      </w:pPr>
      <w:r>
        <w:rPr>
          <w:sz w:val="22"/>
          <w:szCs w:val="22"/>
        </w:rPr>
        <w:t>The first article of Constitution</w:t>
      </w:r>
      <w:r w:rsidR="00DA4C6D">
        <w:rPr>
          <w:sz w:val="22"/>
          <w:szCs w:val="22"/>
        </w:rPr>
        <w:t xml:space="preserve"> of Kenya establishes</w:t>
      </w:r>
      <w:r>
        <w:rPr>
          <w:sz w:val="22"/>
          <w:szCs w:val="22"/>
        </w:rPr>
        <w:t xml:space="preserve"> </w:t>
      </w:r>
      <w:r w:rsidR="00DA4C6D">
        <w:rPr>
          <w:sz w:val="22"/>
          <w:szCs w:val="22"/>
        </w:rPr>
        <w:t>a balance of power, with</w:t>
      </w:r>
      <w:r w:rsidR="005320BF" w:rsidRPr="002D2B73">
        <w:rPr>
          <w:sz w:val="22"/>
          <w:szCs w:val="22"/>
        </w:rPr>
        <w:t xml:space="preserve"> the judiciary, the IEBC, and other independent state organs empowered to fulfil their respective mandates. This includes the Office of the Director of Public Prosecution (ODPP) and other constitutionally independent commissions that support the sovereign power of the people of Kenya</w:t>
      </w:r>
      <w:r w:rsidR="00660FC4">
        <w:rPr>
          <w:sz w:val="22"/>
          <w:szCs w:val="22"/>
        </w:rPr>
        <w:t>, as established in the Constitution</w:t>
      </w:r>
      <w:r w:rsidR="005320BF" w:rsidRPr="002D2B73">
        <w:rPr>
          <w:sz w:val="22"/>
          <w:szCs w:val="22"/>
        </w:rPr>
        <w:t>.</w:t>
      </w:r>
    </w:p>
    <w:p w14:paraId="025AFDFD" w14:textId="77777777" w:rsidR="005320BF" w:rsidRDefault="005320BF" w:rsidP="005320BF">
      <w:pPr>
        <w:rPr>
          <w:i/>
          <w:color w:val="000000"/>
          <w:sz w:val="22"/>
          <w:szCs w:val="22"/>
        </w:rPr>
      </w:pPr>
    </w:p>
    <w:p w14:paraId="6AF4859F" w14:textId="77777777" w:rsidR="008A3937" w:rsidRPr="002D2B73" w:rsidRDefault="008A3937" w:rsidP="005320BF">
      <w:pPr>
        <w:rPr>
          <w:i/>
          <w:color w:val="000000"/>
          <w:sz w:val="22"/>
          <w:szCs w:val="22"/>
        </w:rPr>
      </w:pPr>
    </w:p>
    <w:p w14:paraId="77CE8928" w14:textId="77777777" w:rsidR="005320BF" w:rsidRPr="002D2B73" w:rsidRDefault="005320BF" w:rsidP="005320BF">
      <w:pPr>
        <w:pStyle w:val="ListParagraph"/>
        <w:numPr>
          <w:ilvl w:val="0"/>
          <w:numId w:val="30"/>
        </w:numPr>
        <w:contextualSpacing/>
        <w:jc w:val="left"/>
        <w:rPr>
          <w:i/>
          <w:color w:val="000000"/>
          <w:sz w:val="22"/>
          <w:szCs w:val="22"/>
        </w:rPr>
      </w:pPr>
      <w:r w:rsidRPr="002D2B73">
        <w:rPr>
          <w:b/>
          <w:i/>
          <w:color w:val="000000"/>
          <w:sz w:val="22"/>
          <w:szCs w:val="22"/>
        </w:rPr>
        <w:t>Avoid hate speech and use language to build and unite the nation</w:t>
      </w:r>
    </w:p>
    <w:p w14:paraId="4970B0DB" w14:textId="77777777" w:rsidR="005320BF" w:rsidRPr="002D2B73" w:rsidRDefault="005320BF" w:rsidP="005320BF">
      <w:pPr>
        <w:rPr>
          <w:i/>
          <w:color w:val="000000"/>
          <w:sz w:val="22"/>
          <w:szCs w:val="22"/>
        </w:rPr>
      </w:pPr>
    </w:p>
    <w:p w14:paraId="7F634104" w14:textId="1D9BECD1" w:rsidR="0065483E" w:rsidRDefault="005320BF" w:rsidP="003D34D2">
      <w:pPr>
        <w:pStyle w:val="FootnoteText"/>
        <w:ind w:left="360"/>
        <w:rPr>
          <w:sz w:val="22"/>
          <w:szCs w:val="22"/>
        </w:rPr>
      </w:pPr>
      <w:r w:rsidRPr="002D2B73">
        <w:rPr>
          <w:color w:val="000000"/>
          <w:sz w:val="22"/>
          <w:szCs w:val="22"/>
        </w:rPr>
        <w:t>The increasingly tense electoral environment risks a climate of fear and instability.</w:t>
      </w:r>
      <w:r w:rsidRPr="002D2B73">
        <w:rPr>
          <w:rStyle w:val="FootnoteReference"/>
          <w:color w:val="000000"/>
          <w:sz w:val="22"/>
          <w:szCs w:val="22"/>
        </w:rPr>
        <w:footnoteReference w:id="17"/>
      </w:r>
      <w:r w:rsidRPr="002D2B73">
        <w:rPr>
          <w:color w:val="000000"/>
          <w:sz w:val="22"/>
          <w:szCs w:val="22"/>
        </w:rPr>
        <w:t xml:space="preserve"> </w:t>
      </w:r>
      <w:r w:rsidR="0065483E">
        <w:rPr>
          <w:color w:val="000000"/>
          <w:sz w:val="22"/>
          <w:szCs w:val="22"/>
        </w:rPr>
        <w:t>O</w:t>
      </w:r>
      <w:r w:rsidRPr="003F4E3B">
        <w:rPr>
          <w:color w:val="000000"/>
          <w:sz w:val="22"/>
          <w:szCs w:val="22"/>
        </w:rPr>
        <w:t xml:space="preserve">n </w:t>
      </w:r>
      <w:r w:rsidRPr="003F4E3B">
        <w:rPr>
          <w:sz w:val="22"/>
          <w:szCs w:val="22"/>
        </w:rPr>
        <w:t xml:space="preserve">5 September Moses Kuria, </w:t>
      </w:r>
      <w:r w:rsidR="00E05060" w:rsidRPr="00B229A2">
        <w:rPr>
          <w:sz w:val="22"/>
          <w:szCs w:val="22"/>
        </w:rPr>
        <w:t xml:space="preserve">Jubilee </w:t>
      </w:r>
      <w:r w:rsidRPr="00B229A2">
        <w:rPr>
          <w:sz w:val="22"/>
          <w:szCs w:val="22"/>
        </w:rPr>
        <w:t>MP</w:t>
      </w:r>
      <w:r w:rsidRPr="003F4E3B">
        <w:rPr>
          <w:sz w:val="22"/>
          <w:szCs w:val="22"/>
        </w:rPr>
        <w:t>, was filmed in a rally in Kiambu referring to the opposition as “</w:t>
      </w:r>
      <w:r w:rsidRPr="00B96A67">
        <w:rPr>
          <w:i/>
          <w:sz w:val="22"/>
          <w:szCs w:val="22"/>
        </w:rPr>
        <w:t>demons</w:t>
      </w:r>
      <w:r w:rsidRPr="00B96A67">
        <w:rPr>
          <w:sz w:val="22"/>
          <w:szCs w:val="22"/>
        </w:rPr>
        <w:t>” and calling for a manhunt for the close to 70,000 people who voted for NASA.</w:t>
      </w:r>
      <w:r w:rsidRPr="002D2B73">
        <w:rPr>
          <w:sz w:val="22"/>
          <w:szCs w:val="22"/>
        </w:rPr>
        <w:t xml:space="preserve"> </w:t>
      </w:r>
      <w:r w:rsidR="0065483E">
        <w:rPr>
          <w:sz w:val="22"/>
          <w:szCs w:val="22"/>
          <w:lang w:val="en-GB"/>
        </w:rPr>
        <w:t>S</w:t>
      </w:r>
      <w:r w:rsidR="002B51DC">
        <w:rPr>
          <w:sz w:val="22"/>
          <w:szCs w:val="22"/>
          <w:lang w:val="en-GB"/>
        </w:rPr>
        <w:t>even</w:t>
      </w:r>
      <w:r w:rsidR="0065483E">
        <w:rPr>
          <w:sz w:val="22"/>
          <w:szCs w:val="22"/>
          <w:lang w:val="en-GB"/>
        </w:rPr>
        <w:t xml:space="preserve"> days later</w:t>
      </w:r>
      <w:r w:rsidR="0065483E" w:rsidRPr="0065483E">
        <w:rPr>
          <w:sz w:val="22"/>
          <w:szCs w:val="22"/>
          <w:lang w:val="en-GB"/>
        </w:rPr>
        <w:t xml:space="preserve"> on 1</w:t>
      </w:r>
      <w:r w:rsidR="002B51DC">
        <w:rPr>
          <w:sz w:val="22"/>
          <w:szCs w:val="22"/>
          <w:lang w:val="en-GB"/>
        </w:rPr>
        <w:t>2</w:t>
      </w:r>
      <w:r w:rsidR="0065483E" w:rsidRPr="0065483E">
        <w:rPr>
          <w:sz w:val="22"/>
          <w:szCs w:val="22"/>
          <w:lang w:val="en-GB"/>
        </w:rPr>
        <w:t xml:space="preserve"> Septembe</w:t>
      </w:r>
      <w:r w:rsidR="0065483E">
        <w:rPr>
          <w:sz w:val="22"/>
          <w:szCs w:val="22"/>
          <w:lang w:val="en-GB"/>
        </w:rPr>
        <w:t>r, he was</w:t>
      </w:r>
      <w:r w:rsidR="0065483E" w:rsidRPr="0065483E">
        <w:rPr>
          <w:sz w:val="22"/>
          <w:szCs w:val="22"/>
          <w:lang w:val="en-GB"/>
        </w:rPr>
        <w:t xml:space="preserve"> charged with incitement </w:t>
      </w:r>
      <w:r w:rsidR="00FA03CC">
        <w:rPr>
          <w:sz w:val="22"/>
          <w:szCs w:val="22"/>
          <w:lang w:val="en-GB"/>
        </w:rPr>
        <w:t xml:space="preserve">to violence </w:t>
      </w:r>
      <w:r w:rsidR="0065483E" w:rsidRPr="0065483E">
        <w:rPr>
          <w:sz w:val="22"/>
          <w:szCs w:val="22"/>
          <w:lang w:val="en-GB"/>
        </w:rPr>
        <w:t xml:space="preserve">and </w:t>
      </w:r>
      <w:r w:rsidR="0065483E">
        <w:rPr>
          <w:sz w:val="22"/>
          <w:szCs w:val="22"/>
          <w:lang w:val="en-GB"/>
        </w:rPr>
        <w:t xml:space="preserve">the </w:t>
      </w:r>
      <w:r w:rsidR="0065483E" w:rsidRPr="0065483E">
        <w:rPr>
          <w:sz w:val="22"/>
          <w:szCs w:val="22"/>
          <w:lang w:val="en-GB"/>
        </w:rPr>
        <w:t xml:space="preserve">next day released on bail. </w:t>
      </w:r>
      <w:r w:rsidR="00672D91">
        <w:rPr>
          <w:sz w:val="22"/>
          <w:szCs w:val="22"/>
          <w:lang w:val="en-GB"/>
        </w:rPr>
        <w:t xml:space="preserve">Former NASA </w:t>
      </w:r>
      <w:r w:rsidR="0065483E" w:rsidRPr="00B229A2">
        <w:rPr>
          <w:sz w:val="22"/>
          <w:szCs w:val="22"/>
        </w:rPr>
        <w:t xml:space="preserve">Senator Johnson Muthama </w:t>
      </w:r>
      <w:r w:rsidR="00672D91">
        <w:rPr>
          <w:sz w:val="22"/>
          <w:szCs w:val="22"/>
        </w:rPr>
        <w:t xml:space="preserve">on 10 September called </w:t>
      </w:r>
      <w:r w:rsidR="0065483E" w:rsidRPr="00B229A2">
        <w:rPr>
          <w:sz w:val="22"/>
          <w:szCs w:val="22"/>
        </w:rPr>
        <w:t>President Ke</w:t>
      </w:r>
      <w:r w:rsidR="00672D91" w:rsidRPr="00672D91">
        <w:rPr>
          <w:sz w:val="22"/>
          <w:szCs w:val="22"/>
        </w:rPr>
        <w:t>nyatta and Deputy Pres</w:t>
      </w:r>
      <w:r w:rsidR="00672D91">
        <w:rPr>
          <w:sz w:val="22"/>
          <w:szCs w:val="22"/>
        </w:rPr>
        <w:t>id</w:t>
      </w:r>
      <w:r w:rsidR="00672D91" w:rsidRPr="00672D91">
        <w:rPr>
          <w:sz w:val="22"/>
          <w:szCs w:val="22"/>
        </w:rPr>
        <w:t>ent Rut</w:t>
      </w:r>
      <w:r w:rsidR="0065483E" w:rsidRPr="00B229A2">
        <w:rPr>
          <w:sz w:val="22"/>
          <w:szCs w:val="22"/>
        </w:rPr>
        <w:t>o to a du</w:t>
      </w:r>
      <w:r w:rsidR="00F868C5">
        <w:rPr>
          <w:sz w:val="22"/>
          <w:szCs w:val="22"/>
        </w:rPr>
        <w:t>e</w:t>
      </w:r>
      <w:r w:rsidR="001A5925">
        <w:rPr>
          <w:sz w:val="22"/>
          <w:szCs w:val="22"/>
        </w:rPr>
        <w:t>l</w:t>
      </w:r>
      <w:r w:rsidR="0065483E">
        <w:rPr>
          <w:sz w:val="22"/>
          <w:szCs w:val="22"/>
        </w:rPr>
        <w:t xml:space="preserve"> </w:t>
      </w:r>
      <w:r w:rsidR="00672D91">
        <w:rPr>
          <w:sz w:val="22"/>
          <w:szCs w:val="22"/>
        </w:rPr>
        <w:t>and was charged</w:t>
      </w:r>
      <w:r w:rsidR="00AD5B44">
        <w:rPr>
          <w:sz w:val="22"/>
          <w:szCs w:val="22"/>
        </w:rPr>
        <w:t>,</w:t>
      </w:r>
      <w:r w:rsidR="00672D91">
        <w:rPr>
          <w:sz w:val="22"/>
          <w:szCs w:val="22"/>
        </w:rPr>
        <w:t xml:space="preserve"> </w:t>
      </w:r>
      <w:r w:rsidR="001A5925">
        <w:rPr>
          <w:sz w:val="22"/>
          <w:szCs w:val="22"/>
        </w:rPr>
        <w:t>also on 12 September</w:t>
      </w:r>
      <w:r w:rsidR="00AD5B44">
        <w:rPr>
          <w:sz w:val="22"/>
          <w:szCs w:val="22"/>
        </w:rPr>
        <w:t>,</w:t>
      </w:r>
      <w:r w:rsidR="00672D91">
        <w:rPr>
          <w:sz w:val="22"/>
          <w:szCs w:val="22"/>
        </w:rPr>
        <w:t xml:space="preserve"> with incitement to violence</w:t>
      </w:r>
      <w:r w:rsidR="001A5925">
        <w:rPr>
          <w:sz w:val="22"/>
          <w:szCs w:val="22"/>
        </w:rPr>
        <w:t xml:space="preserve"> and also released on bail</w:t>
      </w:r>
      <w:r w:rsidR="00672D91">
        <w:rPr>
          <w:sz w:val="22"/>
          <w:szCs w:val="22"/>
        </w:rPr>
        <w:t xml:space="preserve">. </w:t>
      </w:r>
      <w:r w:rsidR="0065483E">
        <w:rPr>
          <w:sz w:val="22"/>
          <w:szCs w:val="22"/>
        </w:rPr>
        <w:t>Both cases are due to be heard on 23 January</w:t>
      </w:r>
      <w:r w:rsidR="00672D91">
        <w:rPr>
          <w:sz w:val="22"/>
          <w:szCs w:val="22"/>
        </w:rPr>
        <w:t xml:space="preserve"> 2018</w:t>
      </w:r>
      <w:r w:rsidR="0065483E">
        <w:rPr>
          <w:sz w:val="22"/>
          <w:szCs w:val="22"/>
        </w:rPr>
        <w:t>.</w:t>
      </w:r>
      <w:r w:rsidR="00F558B2">
        <w:rPr>
          <w:sz w:val="22"/>
          <w:szCs w:val="22"/>
        </w:rPr>
        <w:t xml:space="preserve"> </w:t>
      </w:r>
      <w:r w:rsidR="00F868C5">
        <w:rPr>
          <w:sz w:val="22"/>
          <w:szCs w:val="22"/>
        </w:rPr>
        <w:t>Any alleged hate speech and incitement to violence</w:t>
      </w:r>
      <w:r w:rsidRPr="002D2B73">
        <w:rPr>
          <w:sz w:val="22"/>
          <w:szCs w:val="22"/>
        </w:rPr>
        <w:t xml:space="preserve"> </w:t>
      </w:r>
      <w:r w:rsidR="00F868C5" w:rsidRPr="002D2B73">
        <w:rPr>
          <w:sz w:val="22"/>
          <w:szCs w:val="22"/>
        </w:rPr>
        <w:t xml:space="preserve"> </w:t>
      </w:r>
      <w:r w:rsidRPr="002D2B73">
        <w:rPr>
          <w:sz w:val="22"/>
          <w:szCs w:val="22"/>
        </w:rPr>
        <w:t>need</w:t>
      </w:r>
      <w:r w:rsidR="001A5925">
        <w:rPr>
          <w:sz w:val="22"/>
          <w:szCs w:val="22"/>
        </w:rPr>
        <w:t>s</w:t>
      </w:r>
      <w:r w:rsidRPr="002D2B73">
        <w:rPr>
          <w:sz w:val="22"/>
          <w:szCs w:val="22"/>
        </w:rPr>
        <w:t xml:space="preserve"> to be followed up with prosecutions, </w:t>
      </w:r>
      <w:r w:rsidR="000F6044">
        <w:rPr>
          <w:sz w:val="22"/>
          <w:szCs w:val="22"/>
        </w:rPr>
        <w:t xml:space="preserve">and </w:t>
      </w:r>
      <w:r w:rsidRPr="002D2B73">
        <w:rPr>
          <w:sz w:val="22"/>
          <w:szCs w:val="22"/>
        </w:rPr>
        <w:t xml:space="preserve">no-one </w:t>
      </w:r>
      <w:r w:rsidR="000F6044">
        <w:rPr>
          <w:sz w:val="22"/>
          <w:szCs w:val="22"/>
        </w:rPr>
        <w:t>should be</w:t>
      </w:r>
      <w:r w:rsidRPr="002D2B73">
        <w:rPr>
          <w:sz w:val="22"/>
          <w:szCs w:val="22"/>
        </w:rPr>
        <w:t xml:space="preserve"> above the law. </w:t>
      </w:r>
    </w:p>
    <w:p w14:paraId="40D6E443" w14:textId="77777777" w:rsidR="0065483E" w:rsidRDefault="0065483E" w:rsidP="003D34D2">
      <w:pPr>
        <w:pStyle w:val="FootnoteText"/>
        <w:ind w:left="360"/>
        <w:rPr>
          <w:sz w:val="22"/>
          <w:szCs w:val="22"/>
        </w:rPr>
      </w:pPr>
    </w:p>
    <w:p w14:paraId="033D8C91" w14:textId="22A22466" w:rsidR="005320BF" w:rsidRPr="00B229A2" w:rsidRDefault="005320BF" w:rsidP="003D34D2">
      <w:pPr>
        <w:pStyle w:val="FootnoteText"/>
        <w:ind w:left="360"/>
      </w:pPr>
      <w:r w:rsidRPr="002D2B73">
        <w:rPr>
          <w:sz w:val="22"/>
          <w:szCs w:val="22"/>
        </w:rPr>
        <w:t>The EU EOM is encouraged by the 8 September 2017 statement of the National Cohesion and Integration Commission (NCIC) which notes that divisive politics must be rejected and states that it is investigating 273 “</w:t>
      </w:r>
      <w:r w:rsidRPr="002D2B73">
        <w:rPr>
          <w:i/>
          <w:sz w:val="22"/>
          <w:szCs w:val="22"/>
        </w:rPr>
        <w:t>hate mongers, groups and pages amongst social media platforms.”</w:t>
      </w:r>
      <w:r w:rsidRPr="002D2B73">
        <w:rPr>
          <w:sz w:val="22"/>
          <w:szCs w:val="22"/>
        </w:rPr>
        <w:t xml:space="preserve"> The EU EOM will be following hate speech, actions by party leaders to prevent hate-speech</w:t>
      </w:r>
      <w:r w:rsidR="001A5925">
        <w:rPr>
          <w:sz w:val="22"/>
          <w:szCs w:val="22"/>
        </w:rPr>
        <w:t>,</w:t>
      </w:r>
      <w:r w:rsidRPr="002D2B73">
        <w:rPr>
          <w:sz w:val="22"/>
          <w:szCs w:val="22"/>
        </w:rPr>
        <w:t xml:space="preserve"> and measures taken by the responsible authorities</w:t>
      </w:r>
      <w:r w:rsidR="000F6044">
        <w:rPr>
          <w:sz w:val="22"/>
          <w:szCs w:val="22"/>
        </w:rPr>
        <w:t xml:space="preserve">, as well as the way in which fundamental freedoms and rights are respected in the process. </w:t>
      </w:r>
    </w:p>
    <w:p w14:paraId="6B464355" w14:textId="77777777" w:rsidR="005320BF" w:rsidRPr="002D2B73" w:rsidRDefault="005320BF" w:rsidP="005320BF">
      <w:pPr>
        <w:ind w:left="720"/>
        <w:rPr>
          <w:color w:val="000000"/>
          <w:sz w:val="22"/>
          <w:szCs w:val="22"/>
        </w:rPr>
      </w:pPr>
    </w:p>
    <w:p w14:paraId="0191F79D" w14:textId="77777777" w:rsidR="005320BF" w:rsidRPr="002D2B73" w:rsidRDefault="005320BF" w:rsidP="005320BF">
      <w:pPr>
        <w:ind w:left="709"/>
        <w:rPr>
          <w:color w:val="000000"/>
          <w:sz w:val="22"/>
          <w:szCs w:val="22"/>
        </w:rPr>
      </w:pPr>
    </w:p>
    <w:p w14:paraId="57D50372" w14:textId="77777777" w:rsidR="005320BF" w:rsidRPr="002D2B73" w:rsidRDefault="005320BF" w:rsidP="005320BF">
      <w:pPr>
        <w:rPr>
          <w:i/>
          <w:color w:val="000000"/>
          <w:sz w:val="22"/>
          <w:szCs w:val="22"/>
          <w:u w:val="single"/>
        </w:rPr>
      </w:pPr>
      <w:r w:rsidRPr="002D2B73">
        <w:rPr>
          <w:i/>
          <w:color w:val="000000"/>
          <w:sz w:val="22"/>
          <w:szCs w:val="22"/>
          <w:u w:val="single"/>
        </w:rPr>
        <w:t>For other state agencies:</w:t>
      </w:r>
    </w:p>
    <w:p w14:paraId="21F21C36" w14:textId="77777777" w:rsidR="005320BF" w:rsidRPr="002D2B73" w:rsidRDefault="005320BF" w:rsidP="005320BF">
      <w:pPr>
        <w:rPr>
          <w:i/>
          <w:color w:val="000000"/>
          <w:sz w:val="22"/>
          <w:szCs w:val="22"/>
        </w:rPr>
      </w:pPr>
    </w:p>
    <w:p w14:paraId="5A8DFA35" w14:textId="48334115" w:rsidR="00DA4C6D" w:rsidRPr="002D2B73" w:rsidRDefault="00DA4C6D" w:rsidP="00DA4C6D">
      <w:pPr>
        <w:pStyle w:val="ListParagraph"/>
        <w:numPr>
          <w:ilvl w:val="0"/>
          <w:numId w:val="30"/>
        </w:numPr>
        <w:contextualSpacing/>
        <w:jc w:val="left"/>
        <w:rPr>
          <w:b/>
          <w:i/>
          <w:color w:val="000000"/>
          <w:sz w:val="22"/>
          <w:szCs w:val="22"/>
        </w:rPr>
      </w:pPr>
      <w:r w:rsidRPr="002D2B73">
        <w:rPr>
          <w:b/>
          <w:i/>
          <w:color w:val="000000"/>
          <w:sz w:val="22"/>
          <w:szCs w:val="22"/>
        </w:rPr>
        <w:t xml:space="preserve">Undertake thorough investigations of </w:t>
      </w:r>
      <w:r w:rsidR="00A058D7">
        <w:rPr>
          <w:b/>
          <w:i/>
          <w:color w:val="000000"/>
          <w:sz w:val="22"/>
          <w:szCs w:val="22"/>
        </w:rPr>
        <w:t xml:space="preserve">alleged </w:t>
      </w:r>
      <w:r w:rsidRPr="002D2B73">
        <w:rPr>
          <w:b/>
          <w:i/>
          <w:color w:val="000000"/>
          <w:sz w:val="22"/>
          <w:szCs w:val="22"/>
        </w:rPr>
        <w:t>electoral offences in order to promote prosecutions</w:t>
      </w:r>
      <w:r w:rsidR="00450D05">
        <w:rPr>
          <w:b/>
          <w:i/>
          <w:color w:val="000000"/>
          <w:sz w:val="22"/>
          <w:szCs w:val="22"/>
        </w:rPr>
        <w:t xml:space="preserve"> where warranted</w:t>
      </w:r>
      <w:r w:rsidR="00A058D7">
        <w:rPr>
          <w:b/>
          <w:i/>
          <w:color w:val="000000"/>
          <w:sz w:val="22"/>
          <w:szCs w:val="22"/>
        </w:rPr>
        <w:t>, including of IEBC staff</w:t>
      </w:r>
    </w:p>
    <w:p w14:paraId="13C4A56A" w14:textId="77777777" w:rsidR="00DA4C6D" w:rsidRPr="002D2B73" w:rsidRDefault="00DA4C6D" w:rsidP="00DA4C6D">
      <w:pPr>
        <w:pStyle w:val="ListParagraph"/>
        <w:ind w:left="709"/>
        <w:rPr>
          <w:i/>
          <w:color w:val="000000"/>
          <w:sz w:val="22"/>
          <w:szCs w:val="22"/>
        </w:rPr>
      </w:pPr>
    </w:p>
    <w:p w14:paraId="7A0A8508" w14:textId="505E6879" w:rsidR="00DA4C6D" w:rsidRPr="002D2B73" w:rsidRDefault="00DA4C6D" w:rsidP="00DA4C6D">
      <w:pPr>
        <w:ind w:left="360"/>
        <w:rPr>
          <w:color w:val="000000"/>
          <w:sz w:val="22"/>
          <w:szCs w:val="22"/>
        </w:rPr>
      </w:pPr>
      <w:r w:rsidRPr="002D2B73">
        <w:rPr>
          <w:sz w:val="22"/>
          <w:szCs w:val="22"/>
        </w:rPr>
        <w:t xml:space="preserve">To date for these elections, there have </w:t>
      </w:r>
      <w:r w:rsidRPr="00F25768">
        <w:rPr>
          <w:sz w:val="22"/>
          <w:szCs w:val="22"/>
        </w:rPr>
        <w:t xml:space="preserve">been </w:t>
      </w:r>
      <w:r w:rsidR="005F7BB9">
        <w:rPr>
          <w:sz w:val="22"/>
          <w:szCs w:val="22"/>
        </w:rPr>
        <w:t>eight</w:t>
      </w:r>
      <w:r w:rsidR="005F7BB9" w:rsidRPr="00F25768">
        <w:rPr>
          <w:sz w:val="22"/>
          <w:szCs w:val="22"/>
        </w:rPr>
        <w:t xml:space="preserve"> </w:t>
      </w:r>
      <w:r w:rsidRPr="00F25768">
        <w:rPr>
          <w:sz w:val="22"/>
          <w:szCs w:val="22"/>
        </w:rPr>
        <w:t>convictions</w:t>
      </w:r>
      <w:r w:rsidRPr="002D2B73">
        <w:rPr>
          <w:sz w:val="22"/>
          <w:szCs w:val="22"/>
        </w:rPr>
        <w:t xml:space="preserve"> for electoral offences. The ODPP reported 95 pre-election criminal cases, mostly related to party primaries, and 85 individuals have been charged in relation to election day crimes (of whom 24 are polling officials). T</w:t>
      </w:r>
      <w:r w:rsidR="007B0F7D">
        <w:rPr>
          <w:sz w:val="22"/>
          <w:szCs w:val="22"/>
        </w:rPr>
        <w:t>here have t</w:t>
      </w:r>
      <w:r w:rsidRPr="002D2B73">
        <w:rPr>
          <w:sz w:val="22"/>
          <w:szCs w:val="22"/>
        </w:rPr>
        <w:t>o date not been</w:t>
      </w:r>
      <w:r w:rsidR="007B0F7D">
        <w:rPr>
          <w:sz w:val="22"/>
          <w:szCs w:val="22"/>
        </w:rPr>
        <w:t xml:space="preserve"> any</w:t>
      </w:r>
      <w:r w:rsidRPr="002D2B73">
        <w:rPr>
          <w:sz w:val="22"/>
          <w:szCs w:val="22"/>
        </w:rPr>
        <w:t xml:space="preserve"> </w:t>
      </w:r>
      <w:r w:rsidRPr="002D2B73">
        <w:rPr>
          <w:color w:val="000000"/>
          <w:sz w:val="22"/>
          <w:szCs w:val="22"/>
        </w:rPr>
        <w:t>investigations against senior public officers who have reportedly breached the law. S</w:t>
      </w:r>
      <w:r w:rsidRPr="002D2B73">
        <w:rPr>
          <w:sz w:val="22"/>
          <w:szCs w:val="22"/>
        </w:rPr>
        <w:t xml:space="preserve">ome stakeholders have questioned the ability of the ODPP to challenge more senior leaders. </w:t>
      </w:r>
      <w:r w:rsidRPr="002D2B73">
        <w:rPr>
          <w:color w:val="000000" w:themeColor="text1"/>
          <w:sz w:val="22"/>
          <w:szCs w:val="22"/>
        </w:rPr>
        <w:t xml:space="preserve">Full and effective investigations are needed, requiring coordination between </w:t>
      </w:r>
      <w:r w:rsidRPr="002D2B73">
        <w:rPr>
          <w:color w:val="000000"/>
          <w:sz w:val="22"/>
          <w:szCs w:val="22"/>
        </w:rPr>
        <w:t>the Directorate of Criminal Investigation</w:t>
      </w:r>
      <w:r w:rsidR="00436D70">
        <w:rPr>
          <w:color w:val="000000"/>
          <w:sz w:val="22"/>
          <w:szCs w:val="22"/>
        </w:rPr>
        <w:t xml:space="preserve">, </w:t>
      </w:r>
      <w:r w:rsidRPr="002D2B73">
        <w:rPr>
          <w:color w:val="000000"/>
          <w:sz w:val="22"/>
          <w:szCs w:val="22"/>
        </w:rPr>
        <w:t>the NCIC</w:t>
      </w:r>
      <w:r w:rsidR="00436D70">
        <w:rPr>
          <w:color w:val="000000"/>
          <w:sz w:val="22"/>
          <w:szCs w:val="22"/>
        </w:rPr>
        <w:t xml:space="preserve"> and possibly also other agencies.,</w:t>
      </w:r>
      <w:r w:rsidRPr="002D2B73">
        <w:rPr>
          <w:rStyle w:val="FootnoteReference"/>
          <w:color w:val="000000"/>
          <w:sz w:val="22"/>
          <w:szCs w:val="22"/>
        </w:rPr>
        <w:footnoteReference w:id="18"/>
      </w:r>
      <w:r w:rsidR="00436D70">
        <w:rPr>
          <w:color w:val="000000"/>
          <w:sz w:val="22"/>
          <w:szCs w:val="22"/>
        </w:rPr>
        <w:t xml:space="preserve"> </w:t>
      </w:r>
      <w:r w:rsidRPr="002D2B73">
        <w:rPr>
          <w:color w:val="000000"/>
          <w:sz w:val="22"/>
          <w:szCs w:val="22"/>
        </w:rPr>
        <w:t>Fast, comprehensive and effective investigations are needed so that there is individual accountability for actions taken.</w:t>
      </w:r>
      <w:r w:rsidRPr="002D2B73">
        <w:rPr>
          <w:rStyle w:val="FootnoteReference"/>
          <w:color w:val="000000"/>
          <w:sz w:val="22"/>
          <w:szCs w:val="22"/>
        </w:rPr>
        <w:footnoteReference w:id="19"/>
      </w:r>
    </w:p>
    <w:p w14:paraId="3A48574D" w14:textId="77777777" w:rsidR="00DA4C6D" w:rsidRDefault="00DA4C6D" w:rsidP="00DA4C6D">
      <w:pPr>
        <w:pStyle w:val="ListParagraph"/>
        <w:ind w:left="360"/>
        <w:contextualSpacing/>
        <w:jc w:val="left"/>
        <w:rPr>
          <w:b/>
          <w:i/>
          <w:color w:val="000000"/>
          <w:sz w:val="22"/>
          <w:szCs w:val="22"/>
        </w:rPr>
      </w:pPr>
    </w:p>
    <w:p w14:paraId="49FEAAF8" w14:textId="77777777" w:rsidR="008D2A6A" w:rsidRDefault="008D2A6A" w:rsidP="00DA4C6D">
      <w:pPr>
        <w:pStyle w:val="ListParagraph"/>
        <w:ind w:left="360"/>
        <w:contextualSpacing/>
        <w:jc w:val="left"/>
        <w:rPr>
          <w:b/>
          <w:i/>
          <w:color w:val="000000"/>
          <w:sz w:val="22"/>
          <w:szCs w:val="22"/>
        </w:rPr>
      </w:pPr>
    </w:p>
    <w:p w14:paraId="603102DB" w14:textId="459A9B12" w:rsidR="005320BF" w:rsidRPr="002D2B73" w:rsidRDefault="00FF58C2" w:rsidP="005320BF">
      <w:pPr>
        <w:pStyle w:val="ListParagraph"/>
        <w:numPr>
          <w:ilvl w:val="0"/>
          <w:numId w:val="30"/>
        </w:numPr>
        <w:contextualSpacing/>
        <w:jc w:val="left"/>
        <w:rPr>
          <w:b/>
          <w:i/>
          <w:color w:val="000000"/>
          <w:sz w:val="22"/>
          <w:szCs w:val="22"/>
        </w:rPr>
      </w:pPr>
      <w:r>
        <w:rPr>
          <w:b/>
          <w:i/>
          <w:color w:val="000000"/>
          <w:sz w:val="22"/>
          <w:szCs w:val="22"/>
        </w:rPr>
        <w:t>Support</w:t>
      </w:r>
      <w:r w:rsidRPr="002D2B73">
        <w:rPr>
          <w:b/>
          <w:i/>
          <w:color w:val="000000"/>
          <w:sz w:val="22"/>
          <w:szCs w:val="22"/>
        </w:rPr>
        <w:t xml:space="preserve"> </w:t>
      </w:r>
      <w:r w:rsidR="005320BF" w:rsidRPr="002D2B73">
        <w:rPr>
          <w:b/>
          <w:i/>
          <w:color w:val="000000"/>
          <w:sz w:val="22"/>
          <w:szCs w:val="22"/>
        </w:rPr>
        <w:t>civil society organisations</w:t>
      </w:r>
      <w:r>
        <w:rPr>
          <w:b/>
          <w:i/>
          <w:color w:val="000000"/>
          <w:sz w:val="22"/>
          <w:szCs w:val="22"/>
        </w:rPr>
        <w:t xml:space="preserve"> having full</w:t>
      </w:r>
      <w:r w:rsidR="005320BF" w:rsidRPr="002D2B73">
        <w:rPr>
          <w:b/>
          <w:i/>
          <w:color w:val="000000"/>
          <w:sz w:val="22"/>
          <w:szCs w:val="22"/>
        </w:rPr>
        <w:t xml:space="preserve"> freedom to contribute to the electoral process</w:t>
      </w:r>
    </w:p>
    <w:p w14:paraId="53477116" w14:textId="77777777" w:rsidR="005320BF" w:rsidRPr="002D2B73" w:rsidRDefault="005320BF" w:rsidP="005320BF">
      <w:pPr>
        <w:pStyle w:val="ListParagraph"/>
        <w:ind w:left="360"/>
        <w:rPr>
          <w:b/>
          <w:i/>
          <w:color w:val="000000"/>
          <w:sz w:val="22"/>
          <w:szCs w:val="22"/>
        </w:rPr>
      </w:pPr>
    </w:p>
    <w:p w14:paraId="1B5CC64D" w14:textId="50DAD421" w:rsidR="005320BF" w:rsidRPr="002D2B73" w:rsidRDefault="00B96A67" w:rsidP="005320BF">
      <w:pPr>
        <w:ind w:left="360"/>
        <w:rPr>
          <w:color w:val="000000"/>
          <w:sz w:val="22"/>
          <w:szCs w:val="22"/>
        </w:rPr>
      </w:pPr>
      <w:r>
        <w:rPr>
          <w:sz w:val="22"/>
          <w:szCs w:val="22"/>
        </w:rPr>
        <w:t xml:space="preserve">The election process has been scrutinised by a wide variety of organisations with respective specific expertise since the mass voter registration exercise in 2016, with CSOs looking at </w:t>
      </w:r>
      <w:r>
        <w:rPr>
          <w:i/>
          <w:sz w:val="22"/>
          <w:szCs w:val="22"/>
        </w:rPr>
        <w:t>inter alia</w:t>
      </w:r>
      <w:r>
        <w:rPr>
          <w:sz w:val="22"/>
          <w:szCs w:val="22"/>
        </w:rPr>
        <w:t xml:space="preserve"> the legal framework, </w:t>
      </w:r>
      <w:r w:rsidR="00D10A0F">
        <w:rPr>
          <w:sz w:val="22"/>
          <w:szCs w:val="22"/>
        </w:rPr>
        <w:t>the election administration</w:t>
      </w:r>
      <w:r w:rsidR="008B1EEA">
        <w:rPr>
          <w:sz w:val="22"/>
          <w:szCs w:val="22"/>
        </w:rPr>
        <w:t>,</w:t>
      </w:r>
      <w:r>
        <w:rPr>
          <w:sz w:val="22"/>
          <w:szCs w:val="22"/>
        </w:rPr>
        <w:t xml:space="preserve"> and policing. </w:t>
      </w:r>
      <w:r w:rsidR="00D73279">
        <w:rPr>
          <w:color w:val="000000"/>
          <w:sz w:val="22"/>
          <w:szCs w:val="22"/>
        </w:rPr>
        <w:t xml:space="preserve">In </w:t>
      </w:r>
      <w:r w:rsidR="00D73279" w:rsidRPr="001A5925">
        <w:rPr>
          <w:color w:val="000000"/>
          <w:sz w:val="22"/>
          <w:szCs w:val="22"/>
        </w:rPr>
        <w:t>a statement on 16</w:t>
      </w:r>
      <w:r w:rsidR="005320BF" w:rsidRPr="001A5925">
        <w:rPr>
          <w:color w:val="000000"/>
          <w:sz w:val="22"/>
          <w:szCs w:val="22"/>
        </w:rPr>
        <w:t xml:space="preserve"> August, the EU EOM expressed its concern at a letter revoking the registration rights of a key NGO</w:t>
      </w:r>
      <w:r w:rsidR="001A5925" w:rsidRPr="001A5925">
        <w:rPr>
          <w:color w:val="000000"/>
          <w:sz w:val="22"/>
          <w:szCs w:val="22"/>
        </w:rPr>
        <w:t xml:space="preserve"> (Kenya Human Rights Commission, KHRC)</w:t>
      </w:r>
      <w:r w:rsidR="005320BF" w:rsidRPr="001A5925">
        <w:rPr>
          <w:color w:val="000000"/>
          <w:sz w:val="22"/>
          <w:szCs w:val="22"/>
        </w:rPr>
        <w:t xml:space="preserve"> and the orders to close down another</w:t>
      </w:r>
      <w:r w:rsidR="001A5925" w:rsidRPr="001A5925">
        <w:rPr>
          <w:color w:val="000000"/>
          <w:sz w:val="22"/>
          <w:szCs w:val="22"/>
        </w:rPr>
        <w:t xml:space="preserve"> (the African Centre for Open Governance, AfriCOG). The EU EOM</w:t>
      </w:r>
      <w:r w:rsidR="005320BF" w:rsidRPr="001A5925">
        <w:rPr>
          <w:color w:val="000000"/>
          <w:sz w:val="22"/>
          <w:szCs w:val="22"/>
        </w:rPr>
        <w:t xml:space="preserve"> called on the Kenyan authorities to </w:t>
      </w:r>
      <w:r w:rsidR="00E16CA7">
        <w:rPr>
          <w:color w:val="000000"/>
          <w:sz w:val="22"/>
          <w:szCs w:val="22"/>
        </w:rPr>
        <w:t>“</w:t>
      </w:r>
      <w:r w:rsidR="00E16CA7" w:rsidRPr="00E16CA7">
        <w:rPr>
          <w:i/>
          <w:color w:val="000000"/>
          <w:sz w:val="22"/>
          <w:szCs w:val="22"/>
        </w:rPr>
        <w:t>give civil society the space and security to work towards greater democracy for Kenyans.</w:t>
      </w:r>
      <w:r w:rsidR="00E16CA7">
        <w:rPr>
          <w:color w:val="000000"/>
          <w:sz w:val="22"/>
          <w:szCs w:val="22"/>
        </w:rPr>
        <w:t>”</w:t>
      </w:r>
      <w:r w:rsidR="005320BF" w:rsidRPr="002D2B73">
        <w:rPr>
          <w:color w:val="000000"/>
          <w:sz w:val="22"/>
          <w:szCs w:val="22"/>
        </w:rPr>
        <w:t> The order by the Acting Cabinet Secretary of Interior to the NGOs Co-ordination Board to suspend actions against the affected organisations for up to 90 days was welcomed. However</w:t>
      </w:r>
      <w:r w:rsidR="000F6044">
        <w:rPr>
          <w:color w:val="000000"/>
          <w:sz w:val="22"/>
          <w:szCs w:val="22"/>
        </w:rPr>
        <w:t>,</w:t>
      </w:r>
      <w:r w:rsidR="005320BF" w:rsidRPr="002D2B73">
        <w:rPr>
          <w:color w:val="000000"/>
          <w:sz w:val="22"/>
          <w:szCs w:val="22"/>
        </w:rPr>
        <w:t xml:space="preserve"> further commitments and actions would be beneficial to protect civil society’s right and responsibility to contribute to the electoral process</w:t>
      </w:r>
      <w:r w:rsidR="000F6044">
        <w:rPr>
          <w:color w:val="000000"/>
          <w:sz w:val="22"/>
          <w:szCs w:val="22"/>
        </w:rPr>
        <w:t>, as well as to avoid a chilling effect</w:t>
      </w:r>
      <w:r w:rsidR="005320BF" w:rsidRPr="002D2B73">
        <w:rPr>
          <w:color w:val="000000"/>
          <w:sz w:val="22"/>
          <w:szCs w:val="22"/>
        </w:rPr>
        <w:t>.</w:t>
      </w:r>
      <w:r w:rsidR="005320BF" w:rsidRPr="002D2B73">
        <w:rPr>
          <w:rStyle w:val="FootnoteReference"/>
          <w:color w:val="000000"/>
          <w:sz w:val="22"/>
          <w:szCs w:val="22"/>
        </w:rPr>
        <w:footnoteReference w:id="20"/>
      </w:r>
      <w:r w:rsidR="00760E2A">
        <w:rPr>
          <w:color w:val="000000"/>
          <w:sz w:val="22"/>
          <w:szCs w:val="22"/>
        </w:rPr>
        <w:t xml:space="preserve"> </w:t>
      </w:r>
      <w:r w:rsidR="005320BF" w:rsidRPr="002D2B73">
        <w:rPr>
          <w:color w:val="000000"/>
          <w:sz w:val="22"/>
          <w:szCs w:val="22"/>
        </w:rPr>
        <w:t xml:space="preserve">Civil society </w:t>
      </w:r>
      <w:r w:rsidR="00760E2A">
        <w:rPr>
          <w:color w:val="000000"/>
          <w:sz w:val="22"/>
          <w:szCs w:val="22"/>
        </w:rPr>
        <w:t>can contribute through</w:t>
      </w:r>
      <w:r w:rsidR="005320BF" w:rsidRPr="002D2B73">
        <w:rPr>
          <w:color w:val="000000"/>
          <w:sz w:val="22"/>
          <w:szCs w:val="22"/>
        </w:rPr>
        <w:t xml:space="preserve"> comprehensive voter education across the country, </w:t>
      </w:r>
      <w:r w:rsidR="00760E2A">
        <w:rPr>
          <w:color w:val="000000"/>
          <w:sz w:val="22"/>
          <w:szCs w:val="22"/>
        </w:rPr>
        <w:t>(</w:t>
      </w:r>
      <w:r w:rsidR="005320BF" w:rsidRPr="002D2B73">
        <w:rPr>
          <w:color w:val="000000"/>
          <w:sz w:val="22"/>
          <w:szCs w:val="22"/>
        </w:rPr>
        <w:t>including in regards to electoral offences</w:t>
      </w:r>
      <w:r w:rsidR="00760E2A">
        <w:rPr>
          <w:color w:val="000000"/>
          <w:sz w:val="22"/>
          <w:szCs w:val="22"/>
        </w:rPr>
        <w:t>), scrutiny of the process, and conducting a parallel vote tabulation (PVT)</w:t>
      </w:r>
      <w:r w:rsidR="005320BF" w:rsidRPr="002D2B73">
        <w:rPr>
          <w:color w:val="000000"/>
          <w:sz w:val="22"/>
          <w:szCs w:val="22"/>
        </w:rPr>
        <w:t xml:space="preserve">. </w:t>
      </w:r>
    </w:p>
    <w:p w14:paraId="51303E68" w14:textId="77777777" w:rsidR="005320BF" w:rsidRPr="002D2B73" w:rsidRDefault="005320BF" w:rsidP="005320BF">
      <w:pPr>
        <w:pStyle w:val="ListParagraph"/>
        <w:ind w:left="360"/>
        <w:rPr>
          <w:b/>
          <w:i/>
          <w:color w:val="000000"/>
          <w:sz w:val="22"/>
          <w:szCs w:val="22"/>
        </w:rPr>
      </w:pPr>
    </w:p>
    <w:p w14:paraId="42D6EBBB" w14:textId="4683D7E5" w:rsidR="005320BF" w:rsidRPr="002D2B73" w:rsidRDefault="005320BF" w:rsidP="005320BF">
      <w:pPr>
        <w:pStyle w:val="ListParagraph"/>
        <w:numPr>
          <w:ilvl w:val="0"/>
          <w:numId w:val="30"/>
        </w:numPr>
        <w:contextualSpacing/>
        <w:jc w:val="left"/>
        <w:rPr>
          <w:b/>
          <w:i/>
          <w:color w:val="000000"/>
          <w:sz w:val="22"/>
          <w:szCs w:val="22"/>
        </w:rPr>
      </w:pPr>
      <w:r w:rsidRPr="002D2B73">
        <w:rPr>
          <w:b/>
          <w:i/>
          <w:color w:val="000000"/>
          <w:sz w:val="22"/>
          <w:szCs w:val="22"/>
        </w:rPr>
        <w:t>Promote accountability in the maintenance of public order. This includes providing information on security force deployment (including command structures), and allowing journalists to provide full coverage</w:t>
      </w:r>
    </w:p>
    <w:p w14:paraId="4A1E3781" w14:textId="77777777" w:rsidR="005320BF" w:rsidRPr="002D2B73" w:rsidRDefault="005320BF" w:rsidP="005320BF">
      <w:pPr>
        <w:pStyle w:val="ListParagraph"/>
        <w:ind w:left="709"/>
        <w:rPr>
          <w:i/>
          <w:color w:val="000000"/>
          <w:sz w:val="22"/>
          <w:szCs w:val="22"/>
        </w:rPr>
      </w:pPr>
    </w:p>
    <w:p w14:paraId="04443026" w14:textId="7608DE96" w:rsidR="005320BF" w:rsidRPr="002D2B73" w:rsidRDefault="00B96A67" w:rsidP="005320BF">
      <w:pPr>
        <w:ind w:left="360"/>
        <w:rPr>
          <w:sz w:val="22"/>
          <w:szCs w:val="22"/>
        </w:rPr>
      </w:pPr>
      <w:r w:rsidRPr="002D2B73">
        <w:rPr>
          <w:sz w:val="22"/>
          <w:szCs w:val="22"/>
        </w:rPr>
        <w:t xml:space="preserve">The EU EOM noted in its Preliminary Statement that </w:t>
      </w:r>
      <w:r>
        <w:rPr>
          <w:sz w:val="22"/>
          <w:szCs w:val="22"/>
        </w:rPr>
        <w:t xml:space="preserve">security forces behaved appropriately at rallies and polling stations observed, contributing to a relatively peaceful process. </w:t>
      </w:r>
      <w:r w:rsidR="005320BF" w:rsidRPr="002D2B73">
        <w:rPr>
          <w:sz w:val="22"/>
          <w:szCs w:val="22"/>
        </w:rPr>
        <w:t>After the 11 August results announcement the country stayed generally calm, however unrest and protests in informal settlements of Nairobi and parts of Nyanza were met with some excessive and disproportionate force by the police</w:t>
      </w:r>
      <w:r w:rsidR="000F6044">
        <w:rPr>
          <w:sz w:val="22"/>
          <w:szCs w:val="22"/>
        </w:rPr>
        <w:t>. A</w:t>
      </w:r>
      <w:r w:rsidR="005320BF" w:rsidRPr="002D2B73">
        <w:rPr>
          <w:sz w:val="22"/>
          <w:szCs w:val="22"/>
        </w:rPr>
        <w:t xml:space="preserve">t </w:t>
      </w:r>
      <w:r w:rsidR="005320BF" w:rsidRPr="00F25768">
        <w:rPr>
          <w:sz w:val="22"/>
          <w:szCs w:val="22"/>
        </w:rPr>
        <w:t>least 27 people</w:t>
      </w:r>
      <w:r w:rsidR="005320BF" w:rsidRPr="002D2B73">
        <w:rPr>
          <w:sz w:val="22"/>
          <w:szCs w:val="22"/>
        </w:rPr>
        <w:t xml:space="preserve"> </w:t>
      </w:r>
      <w:r w:rsidR="000F6044">
        <w:rPr>
          <w:sz w:val="22"/>
          <w:szCs w:val="22"/>
        </w:rPr>
        <w:t>were</w:t>
      </w:r>
      <w:r w:rsidR="000F6044" w:rsidRPr="002D2B73">
        <w:rPr>
          <w:sz w:val="22"/>
          <w:szCs w:val="22"/>
        </w:rPr>
        <w:t xml:space="preserve"> </w:t>
      </w:r>
      <w:r w:rsidR="005320BF" w:rsidRPr="002D2B73">
        <w:rPr>
          <w:sz w:val="22"/>
          <w:szCs w:val="22"/>
        </w:rPr>
        <w:t>killed and many more injured, according to several national organisations (including the Kenya National Commission for Human Rights). At least two children were reported killed in the disturbances. Video footage</w:t>
      </w:r>
      <w:r w:rsidR="009751C8">
        <w:rPr>
          <w:sz w:val="22"/>
          <w:szCs w:val="22"/>
        </w:rPr>
        <w:t xml:space="preserve"> </w:t>
      </w:r>
      <w:r w:rsidR="008B1EEA" w:rsidRPr="00BF08FE">
        <w:rPr>
          <w:sz w:val="22"/>
          <w:szCs w:val="22"/>
        </w:rPr>
        <w:t xml:space="preserve">seen by the EU EOM </w:t>
      </w:r>
      <w:r w:rsidR="00E07322">
        <w:rPr>
          <w:sz w:val="22"/>
          <w:szCs w:val="22"/>
        </w:rPr>
        <w:t xml:space="preserve">of </w:t>
      </w:r>
      <w:r w:rsidR="00E07322" w:rsidRPr="00BF08FE">
        <w:rPr>
          <w:sz w:val="22"/>
          <w:szCs w:val="22"/>
        </w:rPr>
        <w:t>unrest in parts of Kisumu and Nairobi on 12-13 August</w:t>
      </w:r>
      <w:r w:rsidR="009751C8" w:rsidRPr="00BF08FE">
        <w:rPr>
          <w:sz w:val="22"/>
          <w:szCs w:val="22"/>
        </w:rPr>
        <w:t xml:space="preserve"> </w:t>
      </w:r>
      <w:r w:rsidR="005320BF" w:rsidRPr="00BF08FE">
        <w:rPr>
          <w:sz w:val="22"/>
          <w:szCs w:val="22"/>
        </w:rPr>
        <w:t>shows indiscriminate firing</w:t>
      </w:r>
      <w:r w:rsidR="005320BF" w:rsidRPr="002D2B73">
        <w:rPr>
          <w:sz w:val="22"/>
          <w:szCs w:val="22"/>
        </w:rPr>
        <w:t xml:space="preserve">, homes being raided by security personnel, and extreme force being used. Subsequent reporting by Human Rights Watch and others has also referred to sexual harassment and violence. </w:t>
      </w:r>
    </w:p>
    <w:p w14:paraId="46F7E4F1" w14:textId="77777777" w:rsidR="005320BF" w:rsidRPr="002D2B73" w:rsidRDefault="005320BF" w:rsidP="005320BF">
      <w:pPr>
        <w:ind w:left="360"/>
        <w:rPr>
          <w:sz w:val="22"/>
          <w:szCs w:val="22"/>
        </w:rPr>
      </w:pPr>
    </w:p>
    <w:p w14:paraId="2F16C1CD" w14:textId="4C2F828E" w:rsidR="005320BF" w:rsidRPr="002D2B73" w:rsidRDefault="005320BF" w:rsidP="005320BF">
      <w:pPr>
        <w:ind w:left="360"/>
        <w:rPr>
          <w:sz w:val="22"/>
          <w:szCs w:val="22"/>
        </w:rPr>
      </w:pPr>
      <w:r w:rsidRPr="002D2B73">
        <w:rPr>
          <w:sz w:val="22"/>
          <w:szCs w:val="22"/>
        </w:rPr>
        <w:t>At the time</w:t>
      </w:r>
      <w:r w:rsidR="000F6044">
        <w:rPr>
          <w:sz w:val="22"/>
          <w:szCs w:val="22"/>
        </w:rPr>
        <w:t>,</w:t>
      </w:r>
      <w:r w:rsidRPr="002D2B73">
        <w:rPr>
          <w:sz w:val="22"/>
          <w:szCs w:val="22"/>
        </w:rPr>
        <w:t xml:space="preserve"> the government denied using live bullets and claimed only six people were killed </w:t>
      </w:r>
      <w:r w:rsidR="008B1EEA" w:rsidRPr="002D2B73">
        <w:rPr>
          <w:sz w:val="22"/>
          <w:szCs w:val="22"/>
        </w:rPr>
        <w:t>(all alleged criminals)</w:t>
      </w:r>
      <w:r w:rsidR="008B1EEA">
        <w:rPr>
          <w:sz w:val="22"/>
          <w:szCs w:val="22"/>
        </w:rPr>
        <w:t xml:space="preserve"> </w:t>
      </w:r>
      <w:r w:rsidRPr="002D2B73">
        <w:rPr>
          <w:sz w:val="22"/>
          <w:szCs w:val="22"/>
        </w:rPr>
        <w:t xml:space="preserve">and that force was only used against looters. </w:t>
      </w:r>
      <w:r w:rsidR="000F6044">
        <w:rPr>
          <w:sz w:val="22"/>
          <w:szCs w:val="22"/>
        </w:rPr>
        <w:t>T</w:t>
      </w:r>
      <w:r w:rsidRPr="002D2B73">
        <w:rPr>
          <w:sz w:val="22"/>
          <w:szCs w:val="22"/>
        </w:rPr>
        <w:t xml:space="preserve">he Independent Policing Oversight Authority (IPOA) set up an investigation team, including ODPP prosecutors, to look at police behavior. Several journalists were also reportedly prevented by security forces from covering the disturbances, </w:t>
      </w:r>
      <w:r w:rsidRPr="002D2B73">
        <w:rPr>
          <w:rFonts w:asciiTheme="majorBidi" w:hAnsiTheme="majorBidi" w:cstheme="majorBidi"/>
          <w:sz w:val="22"/>
          <w:szCs w:val="22"/>
        </w:rPr>
        <w:t>d</w:t>
      </w:r>
      <w:r w:rsidRPr="002D2B73">
        <w:rPr>
          <w:sz w:val="22"/>
          <w:szCs w:val="22"/>
        </w:rPr>
        <w:t>enied access to information, beaten or detained while reporting from the scene in Nairobi and Kisumu.</w:t>
      </w:r>
      <w:r w:rsidR="000F6044">
        <w:rPr>
          <w:sz w:val="22"/>
          <w:szCs w:val="22"/>
        </w:rPr>
        <w:t xml:space="preserve"> Media seemed </w:t>
      </w:r>
      <w:r w:rsidR="00E16CA7">
        <w:rPr>
          <w:sz w:val="22"/>
          <w:szCs w:val="22"/>
        </w:rPr>
        <w:t xml:space="preserve">largely </w:t>
      </w:r>
      <w:r w:rsidR="000F6044">
        <w:rPr>
          <w:sz w:val="22"/>
          <w:szCs w:val="22"/>
        </w:rPr>
        <w:t>unable</w:t>
      </w:r>
      <w:r w:rsidR="008B1EEA">
        <w:rPr>
          <w:sz w:val="22"/>
          <w:szCs w:val="22"/>
        </w:rPr>
        <w:t xml:space="preserve"> or hesitant</w:t>
      </w:r>
      <w:r w:rsidR="000F6044">
        <w:rPr>
          <w:sz w:val="22"/>
          <w:szCs w:val="22"/>
        </w:rPr>
        <w:t xml:space="preserve"> to report on the clashes and police responses. </w:t>
      </w:r>
    </w:p>
    <w:p w14:paraId="17159D8E" w14:textId="03F991A2" w:rsidR="005320BF" w:rsidRPr="002D2B73" w:rsidRDefault="005320BF" w:rsidP="005320BF">
      <w:pPr>
        <w:ind w:left="360"/>
        <w:rPr>
          <w:sz w:val="22"/>
          <w:szCs w:val="22"/>
        </w:rPr>
      </w:pPr>
    </w:p>
    <w:p w14:paraId="3DC93A9A" w14:textId="77777777" w:rsidR="005320BF" w:rsidRPr="002D2B73" w:rsidRDefault="005320BF" w:rsidP="005320BF">
      <w:pPr>
        <w:ind w:left="360"/>
        <w:rPr>
          <w:sz w:val="22"/>
          <w:szCs w:val="22"/>
        </w:rPr>
      </w:pPr>
      <w:r w:rsidRPr="002D2B73">
        <w:rPr>
          <w:sz w:val="22"/>
          <w:szCs w:val="22"/>
        </w:rPr>
        <w:t>On 16 August, the EU EOM made a statement calling on state authorities “</w:t>
      </w:r>
      <w:r w:rsidRPr="002D2B73">
        <w:rPr>
          <w:i/>
          <w:sz w:val="22"/>
          <w:szCs w:val="22"/>
        </w:rPr>
        <w:t>to police effectively and to bring order without increasing tensions or using live fire. The EU EOM calls for state security agencies to be transparent in explaining their approach to security, to provide the public with reliable information about fatalities and injuries, and to undertake investigations for full accountability of state and other actors.”</w:t>
      </w:r>
      <w:r w:rsidRPr="002D2B73">
        <w:rPr>
          <w:sz w:val="22"/>
          <w:szCs w:val="22"/>
        </w:rPr>
        <w:t xml:space="preserve">  </w:t>
      </w:r>
    </w:p>
    <w:p w14:paraId="6BD9E81B" w14:textId="77777777" w:rsidR="005320BF" w:rsidRPr="002D2B73" w:rsidRDefault="005320BF" w:rsidP="005320BF">
      <w:pPr>
        <w:ind w:left="360"/>
        <w:rPr>
          <w:sz w:val="22"/>
          <w:szCs w:val="22"/>
        </w:rPr>
      </w:pPr>
    </w:p>
    <w:p w14:paraId="21AA3C8F" w14:textId="0017908C" w:rsidR="005320BF" w:rsidRPr="002D2B73" w:rsidRDefault="005320BF" w:rsidP="005320BF">
      <w:pPr>
        <w:ind w:left="360"/>
        <w:rPr>
          <w:sz w:val="22"/>
          <w:szCs w:val="22"/>
        </w:rPr>
      </w:pPr>
      <w:r w:rsidRPr="002D2B73">
        <w:rPr>
          <w:sz w:val="22"/>
          <w:szCs w:val="22"/>
        </w:rPr>
        <w:t xml:space="preserve">The EU EOM maintains the importance of protecting civil liberties, including the right to protest, and the need for proportionate responses without the use of live fire, and for full accountability for the actions of security services. Plans for the deployment of security agencies should be clear in advance, with mandates and command structures explained to the public so any misconduct can be traced. </w:t>
      </w:r>
    </w:p>
    <w:p w14:paraId="1AE21165" w14:textId="77777777" w:rsidR="005320BF" w:rsidRDefault="005320BF" w:rsidP="005320BF">
      <w:pPr>
        <w:rPr>
          <w:b/>
          <w:i/>
          <w:color w:val="000000"/>
          <w:sz w:val="22"/>
          <w:szCs w:val="22"/>
        </w:rPr>
      </w:pPr>
    </w:p>
    <w:p w14:paraId="41B71095" w14:textId="77777777" w:rsidR="008A3937" w:rsidRDefault="008A3937" w:rsidP="005320BF">
      <w:pPr>
        <w:rPr>
          <w:b/>
          <w:i/>
          <w:color w:val="000000"/>
          <w:sz w:val="22"/>
          <w:szCs w:val="22"/>
        </w:rPr>
      </w:pPr>
    </w:p>
    <w:p w14:paraId="3151CC9D" w14:textId="77777777" w:rsidR="008A3937" w:rsidRPr="002D2B73" w:rsidRDefault="008A3937" w:rsidP="005320BF">
      <w:pPr>
        <w:rPr>
          <w:b/>
          <w:i/>
          <w:color w:val="000000"/>
          <w:sz w:val="22"/>
          <w:szCs w:val="22"/>
        </w:rPr>
      </w:pPr>
    </w:p>
    <w:p w14:paraId="6DC20231" w14:textId="77777777" w:rsidR="005320BF" w:rsidRPr="002D2B73" w:rsidRDefault="005320BF" w:rsidP="005320BF">
      <w:pPr>
        <w:pStyle w:val="ListParagraph"/>
        <w:numPr>
          <w:ilvl w:val="0"/>
          <w:numId w:val="30"/>
        </w:numPr>
        <w:contextualSpacing/>
        <w:jc w:val="left"/>
        <w:rPr>
          <w:b/>
          <w:i/>
          <w:color w:val="000000"/>
          <w:sz w:val="22"/>
          <w:szCs w:val="22"/>
        </w:rPr>
      </w:pPr>
      <w:r w:rsidRPr="002D2B73">
        <w:rPr>
          <w:b/>
          <w:i/>
          <w:color w:val="000000"/>
          <w:sz w:val="22"/>
          <w:szCs w:val="22"/>
        </w:rPr>
        <w:t>Provide full security for IEBC commissioners and staff</w:t>
      </w:r>
    </w:p>
    <w:p w14:paraId="46DAFBF9" w14:textId="77777777" w:rsidR="005320BF" w:rsidRPr="002D2B73" w:rsidRDefault="005320BF" w:rsidP="005320BF">
      <w:pPr>
        <w:pStyle w:val="ListParagraph"/>
        <w:ind w:left="360"/>
        <w:rPr>
          <w:b/>
          <w:i/>
          <w:color w:val="000000"/>
          <w:sz w:val="22"/>
          <w:szCs w:val="22"/>
        </w:rPr>
      </w:pPr>
    </w:p>
    <w:p w14:paraId="2E61A823" w14:textId="5DA745FC" w:rsidR="005320BF" w:rsidRPr="002D2B73" w:rsidRDefault="005320BF" w:rsidP="00B229A2">
      <w:pPr>
        <w:ind w:left="360"/>
        <w:rPr>
          <w:iCs/>
          <w:color w:val="FF0000"/>
          <w:sz w:val="22"/>
          <w:szCs w:val="22"/>
        </w:rPr>
      </w:pPr>
      <w:r w:rsidRPr="002D2B73">
        <w:rPr>
          <w:color w:val="000000"/>
          <w:sz w:val="22"/>
          <w:szCs w:val="22"/>
        </w:rPr>
        <w:t xml:space="preserve">On 31 July the EU EOM Chief Observer, Marietje Schaake, said </w:t>
      </w:r>
      <w:r w:rsidRPr="002D2B73">
        <w:rPr>
          <w:rFonts w:ascii="open_sansregular" w:hAnsi="open_sansregular"/>
          <w:color w:val="333333"/>
          <w:sz w:val="22"/>
          <w:szCs w:val="22"/>
        </w:rPr>
        <w:t>"</w:t>
      </w:r>
      <w:r w:rsidRPr="002D2B73">
        <w:rPr>
          <w:i/>
          <w:sz w:val="22"/>
          <w:szCs w:val="22"/>
        </w:rPr>
        <w:t>Full protection for those responsible for the Kenyan elections is vital, so that they can undertake their tasks without fear. All election administrators need to be able to operate freely and safely in accordance with the Constitution of Kenya.”</w:t>
      </w:r>
      <w:r w:rsidRPr="002D2B73">
        <w:rPr>
          <w:sz w:val="22"/>
          <w:szCs w:val="22"/>
        </w:rPr>
        <w:t xml:space="preserve"> This followed the violent death of Chris Msando, IEBC ICT manager, shortly before election day. </w:t>
      </w:r>
      <w:r w:rsidR="007B0F7D" w:rsidRPr="007B0F7D">
        <w:rPr>
          <w:sz w:val="22"/>
          <w:szCs w:val="22"/>
        </w:rPr>
        <w:t>The EU</w:t>
      </w:r>
      <w:r w:rsidR="008B1EEA">
        <w:rPr>
          <w:sz w:val="22"/>
          <w:szCs w:val="22"/>
        </w:rPr>
        <w:t xml:space="preserve"> </w:t>
      </w:r>
      <w:r w:rsidR="007B0F7D" w:rsidRPr="007B0F7D">
        <w:rPr>
          <w:sz w:val="22"/>
          <w:szCs w:val="22"/>
        </w:rPr>
        <w:t xml:space="preserve">EOM has repeatedly called for an independent investigation into his murder. </w:t>
      </w:r>
      <w:r w:rsidRPr="002D2B73">
        <w:rPr>
          <w:sz w:val="22"/>
          <w:szCs w:val="22"/>
        </w:rPr>
        <w:t>Currently tensions appear to be more pronounced and therefore it is vital that measures are taken as needed for IEBC commissioners and staff to safe</w:t>
      </w:r>
      <w:r w:rsidR="007B0F7D">
        <w:rPr>
          <w:sz w:val="22"/>
          <w:szCs w:val="22"/>
        </w:rPr>
        <w:t>ly</w:t>
      </w:r>
      <w:r w:rsidRPr="002D2B73">
        <w:rPr>
          <w:sz w:val="22"/>
          <w:szCs w:val="22"/>
        </w:rPr>
        <w:t xml:space="preserve"> undertak</w:t>
      </w:r>
      <w:r w:rsidR="007B0F7D">
        <w:rPr>
          <w:sz w:val="22"/>
          <w:szCs w:val="22"/>
        </w:rPr>
        <w:t>e</w:t>
      </w:r>
      <w:r w:rsidRPr="002D2B73">
        <w:rPr>
          <w:sz w:val="22"/>
          <w:szCs w:val="22"/>
        </w:rPr>
        <w:t xml:space="preserve"> their responsibilities.</w:t>
      </w:r>
    </w:p>
    <w:p w14:paraId="737C1BAE" w14:textId="77777777" w:rsidR="005320BF" w:rsidRPr="002D2B73" w:rsidRDefault="005320BF" w:rsidP="005320BF">
      <w:pPr>
        <w:rPr>
          <w:iCs/>
          <w:color w:val="000000"/>
          <w:sz w:val="22"/>
          <w:szCs w:val="22"/>
        </w:rPr>
      </w:pPr>
    </w:p>
    <w:p w14:paraId="56A6D71E" w14:textId="77777777" w:rsidR="00BF08FE" w:rsidRDefault="00BF08FE" w:rsidP="005320BF">
      <w:pPr>
        <w:rPr>
          <w:i/>
          <w:color w:val="000000"/>
          <w:sz w:val="22"/>
          <w:szCs w:val="22"/>
          <w:u w:val="single"/>
        </w:rPr>
      </w:pPr>
    </w:p>
    <w:p w14:paraId="7B3EE1A9" w14:textId="77777777" w:rsidR="005320BF" w:rsidRPr="002D2B73" w:rsidRDefault="005320BF" w:rsidP="005320BF">
      <w:pPr>
        <w:rPr>
          <w:i/>
          <w:color w:val="000000"/>
          <w:sz w:val="22"/>
          <w:szCs w:val="22"/>
          <w:u w:val="single"/>
        </w:rPr>
      </w:pPr>
      <w:r w:rsidRPr="002D2B73">
        <w:rPr>
          <w:i/>
          <w:color w:val="000000"/>
          <w:sz w:val="22"/>
          <w:szCs w:val="22"/>
          <w:u w:val="single"/>
        </w:rPr>
        <w:t>For the media:</w:t>
      </w:r>
    </w:p>
    <w:p w14:paraId="36640F8C" w14:textId="77777777" w:rsidR="005320BF" w:rsidRPr="002D2B73" w:rsidRDefault="005320BF" w:rsidP="005320BF">
      <w:pPr>
        <w:rPr>
          <w:i/>
          <w:color w:val="000000"/>
          <w:sz w:val="22"/>
          <w:szCs w:val="22"/>
        </w:rPr>
      </w:pPr>
    </w:p>
    <w:p w14:paraId="37B55124" w14:textId="74204361" w:rsidR="005320BF" w:rsidRPr="002D2B73" w:rsidRDefault="005320BF" w:rsidP="005320BF">
      <w:pPr>
        <w:pStyle w:val="ListParagraph"/>
        <w:numPr>
          <w:ilvl w:val="0"/>
          <w:numId w:val="30"/>
        </w:numPr>
        <w:contextualSpacing/>
        <w:jc w:val="left"/>
        <w:rPr>
          <w:b/>
          <w:i/>
          <w:color w:val="000000"/>
          <w:sz w:val="22"/>
          <w:szCs w:val="22"/>
        </w:rPr>
      </w:pPr>
      <w:r w:rsidRPr="002D2B73">
        <w:rPr>
          <w:b/>
          <w:i/>
          <w:color w:val="000000"/>
          <w:sz w:val="22"/>
          <w:szCs w:val="22"/>
        </w:rPr>
        <w:t>Promote</w:t>
      </w:r>
      <w:r w:rsidR="00A058D7">
        <w:rPr>
          <w:b/>
          <w:i/>
          <w:color w:val="000000"/>
          <w:sz w:val="22"/>
          <w:szCs w:val="22"/>
        </w:rPr>
        <w:t xml:space="preserve"> live</w:t>
      </w:r>
      <w:r w:rsidRPr="002D2B73">
        <w:rPr>
          <w:b/>
          <w:i/>
          <w:color w:val="000000"/>
          <w:sz w:val="22"/>
          <w:szCs w:val="22"/>
        </w:rPr>
        <w:t xml:space="preserve"> media coverage of constituency tallying centres to enhance the transparency of the results process</w:t>
      </w:r>
    </w:p>
    <w:p w14:paraId="41F69F68" w14:textId="77777777" w:rsidR="005320BF" w:rsidRPr="002D2B73" w:rsidRDefault="005320BF" w:rsidP="005320BF">
      <w:pPr>
        <w:pStyle w:val="ListParagraph"/>
        <w:ind w:left="360"/>
        <w:rPr>
          <w:b/>
          <w:i/>
          <w:color w:val="000000"/>
          <w:sz w:val="22"/>
          <w:szCs w:val="22"/>
        </w:rPr>
      </w:pPr>
    </w:p>
    <w:p w14:paraId="2D4E1DA4" w14:textId="166D5B0B" w:rsidR="005320BF" w:rsidRPr="002D2B73" w:rsidRDefault="005320BF" w:rsidP="005320BF">
      <w:pPr>
        <w:ind w:left="360"/>
        <w:rPr>
          <w:color w:val="000000"/>
          <w:sz w:val="22"/>
          <w:szCs w:val="22"/>
        </w:rPr>
      </w:pPr>
      <w:r w:rsidRPr="002D2B73">
        <w:rPr>
          <w:color w:val="000000"/>
          <w:sz w:val="22"/>
          <w:szCs w:val="22"/>
        </w:rPr>
        <w:t>Media</w:t>
      </w:r>
      <w:r w:rsidR="000F6044">
        <w:rPr>
          <w:color w:val="000000"/>
          <w:sz w:val="22"/>
          <w:szCs w:val="22"/>
        </w:rPr>
        <w:t xml:space="preserve"> freedom and</w:t>
      </w:r>
      <w:r w:rsidRPr="002D2B73">
        <w:rPr>
          <w:color w:val="000000"/>
          <w:sz w:val="22"/>
          <w:szCs w:val="22"/>
        </w:rPr>
        <w:t xml:space="preserve"> scrutiny of </w:t>
      </w:r>
      <w:r w:rsidR="00BB25AB">
        <w:rPr>
          <w:color w:val="000000"/>
          <w:sz w:val="22"/>
          <w:szCs w:val="22"/>
        </w:rPr>
        <w:t xml:space="preserve">the different parts of the electoral process is critical. In particular media coverage of </w:t>
      </w:r>
      <w:r w:rsidRPr="002D2B73">
        <w:rPr>
          <w:color w:val="000000"/>
          <w:sz w:val="22"/>
          <w:szCs w:val="22"/>
        </w:rPr>
        <w:t>tallying processes is an important check on the tabulation and transmission of results. Such media presence allows a wider group of stakeholders to see the process and to check results. This is particularly important given the finality of constituency results, the concerns that have been raised about results transmission, and the delay in the IEBC publication of constituency-level results. However</w:t>
      </w:r>
      <w:r w:rsidR="007B0F7D">
        <w:rPr>
          <w:color w:val="000000"/>
          <w:sz w:val="22"/>
          <w:szCs w:val="22"/>
        </w:rPr>
        <w:t>,</w:t>
      </w:r>
      <w:r w:rsidRPr="002D2B73">
        <w:rPr>
          <w:color w:val="000000"/>
          <w:sz w:val="22"/>
          <w:szCs w:val="22"/>
        </w:rPr>
        <w:t xml:space="preserve"> over the 8 August election, the media predominantly focused on the </w:t>
      </w:r>
      <w:r w:rsidRPr="002D2B73">
        <w:rPr>
          <w:sz w:val="22"/>
          <w:szCs w:val="22"/>
        </w:rPr>
        <w:t xml:space="preserve">national tallying centre (Bomas) and the keyed-in results as opposed to the results forms that are the basis for the declared results. Media should therefore be free </w:t>
      </w:r>
      <w:r w:rsidR="003304A7">
        <w:rPr>
          <w:sz w:val="22"/>
          <w:szCs w:val="22"/>
        </w:rPr>
        <w:t xml:space="preserve">and encouraged </w:t>
      </w:r>
      <w:r w:rsidRPr="002D2B73">
        <w:rPr>
          <w:sz w:val="22"/>
          <w:szCs w:val="22"/>
        </w:rPr>
        <w:t xml:space="preserve">to show all the results declared at constituency level across the country. </w:t>
      </w:r>
    </w:p>
    <w:p w14:paraId="28D3F3A6" w14:textId="77777777" w:rsidR="005320BF" w:rsidRPr="002D2B73" w:rsidRDefault="005320BF" w:rsidP="005320BF">
      <w:pPr>
        <w:ind w:left="360"/>
        <w:rPr>
          <w:color w:val="000000"/>
          <w:sz w:val="22"/>
          <w:szCs w:val="22"/>
        </w:rPr>
      </w:pPr>
      <w:r w:rsidRPr="002D2B73">
        <w:rPr>
          <w:sz w:val="22"/>
          <w:szCs w:val="22"/>
        </w:rPr>
        <w:t xml:space="preserve"> </w:t>
      </w:r>
    </w:p>
    <w:p w14:paraId="6636DD53" w14:textId="740EB469" w:rsidR="005320BF" w:rsidRPr="002D2B73" w:rsidRDefault="005320BF" w:rsidP="005320BF">
      <w:pPr>
        <w:pStyle w:val="ListParagraph"/>
        <w:numPr>
          <w:ilvl w:val="0"/>
          <w:numId w:val="30"/>
        </w:numPr>
        <w:contextualSpacing/>
        <w:jc w:val="left"/>
        <w:rPr>
          <w:b/>
          <w:i/>
          <w:color w:val="000000"/>
          <w:sz w:val="22"/>
          <w:szCs w:val="22"/>
        </w:rPr>
      </w:pPr>
      <w:r w:rsidRPr="002D2B73">
        <w:rPr>
          <w:b/>
          <w:i/>
          <w:color w:val="000000"/>
          <w:sz w:val="22"/>
          <w:szCs w:val="22"/>
        </w:rPr>
        <w:t>Provide accurate and complete coverage of responses to</w:t>
      </w:r>
      <w:r w:rsidR="00BB25AB">
        <w:rPr>
          <w:b/>
          <w:i/>
          <w:color w:val="000000"/>
          <w:sz w:val="22"/>
          <w:szCs w:val="22"/>
        </w:rPr>
        <w:t xml:space="preserve"> the</w:t>
      </w:r>
      <w:r w:rsidRPr="002D2B73">
        <w:rPr>
          <w:b/>
          <w:i/>
          <w:color w:val="000000"/>
          <w:sz w:val="22"/>
          <w:szCs w:val="22"/>
        </w:rPr>
        <w:t xml:space="preserve"> results</w:t>
      </w:r>
      <w:r w:rsidR="00BB25AB">
        <w:rPr>
          <w:b/>
          <w:i/>
          <w:color w:val="000000"/>
          <w:sz w:val="22"/>
          <w:szCs w:val="22"/>
        </w:rPr>
        <w:t xml:space="preserve"> announcement</w:t>
      </w:r>
      <w:r w:rsidRPr="002D2B73">
        <w:rPr>
          <w:b/>
          <w:i/>
          <w:color w:val="000000"/>
          <w:sz w:val="22"/>
          <w:szCs w:val="22"/>
        </w:rPr>
        <w:t xml:space="preserve"> and security measures being taken</w:t>
      </w:r>
    </w:p>
    <w:p w14:paraId="61D5B7EE" w14:textId="77777777" w:rsidR="005320BF" w:rsidRPr="002D2B73" w:rsidRDefault="005320BF" w:rsidP="005320BF">
      <w:pPr>
        <w:pStyle w:val="ListParagraph"/>
        <w:ind w:left="360"/>
        <w:rPr>
          <w:b/>
          <w:i/>
          <w:color w:val="000000"/>
          <w:sz w:val="22"/>
          <w:szCs w:val="22"/>
        </w:rPr>
      </w:pPr>
    </w:p>
    <w:p w14:paraId="29D1CD44" w14:textId="0751B451" w:rsidR="00532543" w:rsidRDefault="00532543" w:rsidP="00532543">
      <w:pPr>
        <w:ind w:left="360"/>
        <w:rPr>
          <w:sz w:val="22"/>
          <w:szCs w:val="22"/>
        </w:rPr>
      </w:pPr>
      <w:r w:rsidRPr="002D2B73">
        <w:rPr>
          <w:sz w:val="22"/>
          <w:szCs w:val="22"/>
        </w:rPr>
        <w:t xml:space="preserve">At all times journalists need to be able to report freely, and therefore </w:t>
      </w:r>
      <w:r w:rsidR="009751C8">
        <w:rPr>
          <w:sz w:val="22"/>
          <w:szCs w:val="22"/>
        </w:rPr>
        <w:t xml:space="preserve">any </w:t>
      </w:r>
      <w:r w:rsidRPr="002D2B73">
        <w:rPr>
          <w:sz w:val="22"/>
          <w:szCs w:val="22"/>
        </w:rPr>
        <w:t>state actions t</w:t>
      </w:r>
      <w:r w:rsidR="009751C8">
        <w:rPr>
          <w:sz w:val="22"/>
          <w:szCs w:val="22"/>
        </w:rPr>
        <w:t>hat</w:t>
      </w:r>
      <w:r w:rsidRPr="002D2B73">
        <w:rPr>
          <w:sz w:val="22"/>
          <w:szCs w:val="22"/>
        </w:rPr>
        <w:t xml:space="preserve"> promote this are </w:t>
      </w:r>
      <w:r w:rsidR="009751C8">
        <w:rPr>
          <w:sz w:val="22"/>
          <w:szCs w:val="22"/>
        </w:rPr>
        <w:t>encouraged</w:t>
      </w:r>
      <w:r w:rsidRPr="002D2B73">
        <w:rPr>
          <w:sz w:val="22"/>
          <w:szCs w:val="22"/>
        </w:rPr>
        <w:t>. Kenyans also need to critically assess information from the media and social media especially in view of the highly polarized and sensitive environment in Kenya, and the “</w:t>
      </w:r>
      <w:r w:rsidRPr="002D2B73">
        <w:rPr>
          <w:i/>
          <w:sz w:val="22"/>
          <w:szCs w:val="22"/>
        </w:rPr>
        <w:t>fa</w:t>
      </w:r>
      <w:r w:rsidR="000F6044">
        <w:rPr>
          <w:i/>
          <w:sz w:val="22"/>
          <w:szCs w:val="22"/>
        </w:rPr>
        <w:t>ke</w:t>
      </w:r>
      <w:r w:rsidRPr="002D2B73">
        <w:rPr>
          <w:i/>
          <w:sz w:val="22"/>
          <w:szCs w:val="22"/>
        </w:rPr>
        <w:t xml:space="preserve"> news”</w:t>
      </w:r>
      <w:r w:rsidRPr="002D2B73">
        <w:rPr>
          <w:sz w:val="22"/>
          <w:szCs w:val="22"/>
        </w:rPr>
        <w:t xml:space="preserve"> stories in circulation.</w:t>
      </w:r>
    </w:p>
    <w:p w14:paraId="70BC7501" w14:textId="77777777" w:rsidR="00532543" w:rsidRPr="002D2B73" w:rsidRDefault="00532543" w:rsidP="00532543">
      <w:pPr>
        <w:ind w:left="360"/>
        <w:rPr>
          <w:color w:val="000000"/>
          <w:sz w:val="22"/>
          <w:szCs w:val="22"/>
        </w:rPr>
      </w:pPr>
    </w:p>
    <w:p w14:paraId="5EFE0C30" w14:textId="55B06C5C" w:rsidR="005320BF" w:rsidRDefault="005320BF" w:rsidP="005320BF">
      <w:pPr>
        <w:ind w:left="360"/>
        <w:rPr>
          <w:sz w:val="22"/>
          <w:szCs w:val="22"/>
        </w:rPr>
      </w:pPr>
      <w:r w:rsidRPr="002D2B73">
        <w:rPr>
          <w:rFonts w:asciiTheme="majorBidi" w:hAnsiTheme="majorBidi" w:cstheme="majorBidi"/>
          <w:sz w:val="22"/>
          <w:szCs w:val="22"/>
          <w:lang w:eastAsia="en-GB"/>
        </w:rPr>
        <w:t>While Kenya has a vibrant media landscape, the EU EOM Preliminary Statement noted that “</w:t>
      </w:r>
      <w:r w:rsidRPr="002D2B73">
        <w:rPr>
          <w:rFonts w:asciiTheme="majorBidi" w:hAnsiTheme="majorBidi" w:cstheme="majorBidi"/>
          <w:i/>
          <w:sz w:val="22"/>
          <w:szCs w:val="22"/>
        </w:rPr>
        <w:t>Journalists in several counties were threatened in connection with their reporting on political or election-related matters and stated that they commonly exercise self-censorship</w:t>
      </w:r>
      <w:r w:rsidRPr="002D2B73">
        <w:rPr>
          <w:rFonts w:asciiTheme="majorBidi" w:hAnsiTheme="majorBidi" w:cstheme="majorBidi"/>
          <w:sz w:val="22"/>
          <w:szCs w:val="22"/>
        </w:rPr>
        <w:t>.” Self-censorship also partly explains why</w:t>
      </w:r>
      <w:r w:rsidRPr="002D2B73">
        <w:rPr>
          <w:sz w:val="22"/>
          <w:szCs w:val="22"/>
        </w:rPr>
        <w:t xml:space="preserve"> the media did</w:t>
      </w:r>
      <w:r w:rsidR="007B0F7D">
        <w:rPr>
          <w:sz w:val="22"/>
          <w:szCs w:val="22"/>
        </w:rPr>
        <w:t xml:space="preserve"> not</w:t>
      </w:r>
      <w:r w:rsidRPr="002D2B73">
        <w:rPr>
          <w:sz w:val="22"/>
          <w:szCs w:val="22"/>
        </w:rPr>
        <w:t xml:space="preserve"> provide timely information about the post-election protests that arose, the response of security agencies and the severity of the violence (including details of casualties). As referred to above, (in recommendation 1</w:t>
      </w:r>
      <w:r w:rsidR="003304A7">
        <w:rPr>
          <w:sz w:val="22"/>
          <w:szCs w:val="22"/>
        </w:rPr>
        <w:t>5</w:t>
      </w:r>
      <w:r w:rsidRPr="002D2B73">
        <w:rPr>
          <w:sz w:val="22"/>
          <w:szCs w:val="22"/>
        </w:rPr>
        <w:t xml:space="preserve">), several journalists reported being prevented by security forces from covering the disturbances. A lack of media coverage weakens citizens’ knowledge of what is happening and reduces a sense of scrutiny and subsequent accountability for actions. </w:t>
      </w:r>
    </w:p>
    <w:p w14:paraId="2A237156" w14:textId="77777777" w:rsidR="008A3937" w:rsidRDefault="008A3937" w:rsidP="009D1F1D">
      <w:pPr>
        <w:rPr>
          <w:color w:val="000000"/>
          <w:sz w:val="22"/>
          <w:szCs w:val="22"/>
        </w:rPr>
      </w:pPr>
    </w:p>
    <w:p w14:paraId="50318DA3" w14:textId="77777777" w:rsidR="004B74A3" w:rsidRDefault="004B74A3" w:rsidP="009D1F1D">
      <w:pPr>
        <w:rPr>
          <w:color w:val="000000"/>
          <w:sz w:val="22"/>
          <w:szCs w:val="22"/>
        </w:rPr>
      </w:pPr>
    </w:p>
    <w:p w14:paraId="1C83CAA9" w14:textId="77777777" w:rsidR="009D1F1D" w:rsidRDefault="005320BF" w:rsidP="009D1F1D">
      <w:pPr>
        <w:rPr>
          <w:sz w:val="22"/>
          <w:szCs w:val="22"/>
        </w:rPr>
      </w:pPr>
      <w:r w:rsidRPr="002D2B73">
        <w:rPr>
          <w:color w:val="000000"/>
          <w:sz w:val="22"/>
          <w:szCs w:val="22"/>
        </w:rPr>
        <w:t>T</w:t>
      </w:r>
      <w:r w:rsidRPr="002D2B73">
        <w:rPr>
          <w:sz w:val="22"/>
          <w:szCs w:val="22"/>
        </w:rPr>
        <w:t xml:space="preserve">he EU EOM will continue to observe </w:t>
      </w:r>
      <w:r w:rsidR="00E07322">
        <w:rPr>
          <w:sz w:val="22"/>
          <w:szCs w:val="22"/>
        </w:rPr>
        <w:t xml:space="preserve">the 2017 electoral process in Kenya </w:t>
      </w:r>
      <w:r w:rsidRPr="002D2B73">
        <w:rPr>
          <w:sz w:val="22"/>
          <w:szCs w:val="22"/>
        </w:rPr>
        <w:t>with a field presence of long and short-term observers in different parts of the country</w:t>
      </w:r>
      <w:r w:rsidR="00E07322">
        <w:rPr>
          <w:sz w:val="22"/>
          <w:szCs w:val="22"/>
        </w:rPr>
        <w:t xml:space="preserve"> for the re-run presidential election</w:t>
      </w:r>
      <w:r w:rsidRPr="002D2B73">
        <w:rPr>
          <w:sz w:val="22"/>
          <w:szCs w:val="22"/>
        </w:rPr>
        <w:t>. The EU EOM will assess implementation of these recommendations, adherence to the legal framework of Kenya, and compliance with Kenya’s international commitments.</w:t>
      </w:r>
      <w:r w:rsidR="009D1F1D">
        <w:rPr>
          <w:sz w:val="22"/>
          <w:szCs w:val="22"/>
        </w:rPr>
        <w:t xml:space="preserve"> </w:t>
      </w:r>
      <w:r w:rsidR="009D1F1D" w:rsidRPr="009D1F1D">
        <w:rPr>
          <w:sz w:val="22"/>
          <w:szCs w:val="22"/>
        </w:rPr>
        <w:t>The EU EOM will release a full final report with long-term recommendations some two months after completion of the entire electoral process, including the re-run.</w:t>
      </w:r>
    </w:p>
    <w:p w14:paraId="07027AC8" w14:textId="77777777" w:rsidR="009D1F1D" w:rsidRDefault="009D1F1D" w:rsidP="009D1F1D">
      <w:pPr>
        <w:rPr>
          <w:sz w:val="22"/>
          <w:szCs w:val="22"/>
        </w:rPr>
      </w:pPr>
    </w:p>
    <w:p w14:paraId="51AC95E2" w14:textId="4C6D69E1" w:rsidR="00087CD4" w:rsidRDefault="00087CD4" w:rsidP="00A616E4">
      <w:pPr>
        <w:rPr>
          <w:sz w:val="22"/>
          <w:szCs w:val="22"/>
        </w:rPr>
      </w:pPr>
    </w:p>
    <w:p w14:paraId="74A4A255" w14:textId="77777777" w:rsidR="008A3937" w:rsidRDefault="008A3937" w:rsidP="00A616E4">
      <w:pPr>
        <w:rPr>
          <w:sz w:val="22"/>
          <w:szCs w:val="22"/>
        </w:rPr>
      </w:pPr>
    </w:p>
    <w:p w14:paraId="25949F36" w14:textId="77777777" w:rsidR="00087CD4" w:rsidRPr="00B229A2" w:rsidRDefault="00087CD4" w:rsidP="00A616E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A616E4" w:rsidRPr="002D2B73" w14:paraId="6D90EB07" w14:textId="77777777" w:rsidTr="00A62B6D">
        <w:tc>
          <w:tcPr>
            <w:tcW w:w="9576" w:type="dxa"/>
            <w:tcBorders>
              <w:left w:val="nil"/>
              <w:right w:val="nil"/>
            </w:tcBorders>
          </w:tcPr>
          <w:p w14:paraId="1AF6BB79" w14:textId="77777777" w:rsidR="00B229A2" w:rsidRDefault="00A616E4" w:rsidP="00B229A2">
            <w:pPr>
              <w:spacing w:before="240" w:after="240"/>
              <w:rPr>
                <w:sz w:val="22"/>
                <w:szCs w:val="22"/>
              </w:rPr>
            </w:pPr>
            <w:r w:rsidRPr="002D2B73">
              <w:rPr>
                <w:color w:val="000000"/>
                <w:sz w:val="22"/>
                <w:szCs w:val="22"/>
              </w:rPr>
              <w:t xml:space="preserve">This </w:t>
            </w:r>
            <w:r w:rsidR="00493AC2" w:rsidRPr="002D2B73">
              <w:rPr>
                <w:color w:val="000000"/>
                <w:sz w:val="22"/>
                <w:szCs w:val="22"/>
              </w:rPr>
              <w:t>Interim</w:t>
            </w:r>
            <w:r w:rsidRPr="002D2B73">
              <w:rPr>
                <w:color w:val="000000"/>
                <w:sz w:val="22"/>
                <w:szCs w:val="22"/>
              </w:rPr>
              <w:t xml:space="preserve"> Statement is available on the </w:t>
            </w:r>
            <w:r w:rsidRPr="00B229A2">
              <w:rPr>
                <w:sz w:val="22"/>
                <w:szCs w:val="22"/>
              </w:rPr>
              <w:t>mission website (Website: </w:t>
            </w:r>
            <w:hyperlink r:id="rId8" w:history="1">
              <w:r w:rsidRPr="00B229A2">
                <w:rPr>
                  <w:rStyle w:val="Hyperlink"/>
                  <w:color w:val="auto"/>
                  <w:sz w:val="22"/>
                  <w:szCs w:val="22"/>
                </w:rPr>
                <w:t>www.eueom.eu/kenya2017</w:t>
              </w:r>
            </w:hyperlink>
            <w:r w:rsidRPr="00B229A2">
              <w:rPr>
                <w:sz w:val="22"/>
                <w:szCs w:val="22"/>
              </w:rPr>
              <w:t>) and social media links: Facebook: </w:t>
            </w:r>
            <w:hyperlink r:id="rId9" w:history="1">
              <w:r w:rsidRPr="00B229A2">
                <w:rPr>
                  <w:rStyle w:val="Hyperlink"/>
                  <w:color w:val="auto"/>
                  <w:sz w:val="22"/>
                  <w:szCs w:val="22"/>
                </w:rPr>
                <w:t>www.facebook.com/eueomkenya2017</w:t>
              </w:r>
            </w:hyperlink>
            <w:r w:rsidRPr="00B229A2">
              <w:rPr>
                <w:sz w:val="22"/>
                <w:szCs w:val="22"/>
              </w:rPr>
              <w:t>, Twitter:@eueomkenya2017, Instagram: </w:t>
            </w:r>
            <w:hyperlink r:id="rId10" w:history="1">
              <w:r w:rsidRPr="00B229A2">
                <w:rPr>
                  <w:rStyle w:val="Hyperlink"/>
                  <w:color w:val="auto"/>
                  <w:sz w:val="22"/>
                  <w:szCs w:val="22"/>
                </w:rPr>
                <w:t>https://www.instagram.com/eueomkenya/?hl=en</w:t>
              </w:r>
            </w:hyperlink>
            <w:r w:rsidRPr="00B229A2">
              <w:rPr>
                <w:sz w:val="22"/>
                <w:szCs w:val="22"/>
              </w:rPr>
              <w:t>).</w:t>
            </w:r>
          </w:p>
          <w:p w14:paraId="066590D0" w14:textId="2359E989" w:rsidR="00A616E4" w:rsidRPr="00B229A2" w:rsidRDefault="00A616E4" w:rsidP="00B229A2">
            <w:pPr>
              <w:spacing w:before="240" w:after="240"/>
              <w:rPr>
                <w:color w:val="000000"/>
                <w:sz w:val="22"/>
                <w:szCs w:val="22"/>
              </w:rPr>
            </w:pPr>
            <w:r w:rsidRPr="002D2B73">
              <w:rPr>
                <w:color w:val="000000"/>
                <w:sz w:val="22"/>
                <w:szCs w:val="22"/>
              </w:rPr>
              <w:t>For further information, please contact:</w:t>
            </w:r>
            <w:r w:rsidR="00B229A2">
              <w:rPr>
                <w:color w:val="000000"/>
                <w:sz w:val="22"/>
                <w:szCs w:val="22"/>
              </w:rPr>
              <w:t xml:space="preserve"> </w:t>
            </w:r>
            <w:r w:rsidRPr="002D2B73">
              <w:rPr>
                <w:iCs/>
                <w:color w:val="000000"/>
                <w:sz w:val="22"/>
                <w:szCs w:val="22"/>
                <w:lang w:val="en-US"/>
              </w:rPr>
              <w:t xml:space="preserve">Paul Anderson, EU EOM Press Officer, Tel. </w:t>
            </w:r>
            <w:r w:rsidRPr="002D2B73">
              <w:rPr>
                <w:i/>
                <w:iCs/>
                <w:sz w:val="22"/>
                <w:szCs w:val="22"/>
                <w:lang w:val="en-US"/>
              </w:rPr>
              <w:t>+</w:t>
            </w:r>
            <w:r w:rsidRPr="002D2B73">
              <w:rPr>
                <w:sz w:val="22"/>
                <w:szCs w:val="22"/>
                <w:lang w:val="en-US"/>
              </w:rPr>
              <w:t>254 740 033217</w:t>
            </w:r>
            <w:r w:rsidRPr="002D2B73">
              <w:rPr>
                <w:i/>
                <w:iCs/>
                <w:sz w:val="22"/>
                <w:szCs w:val="22"/>
                <w:lang w:val="en-US"/>
              </w:rPr>
              <w:t xml:space="preserve">, </w:t>
            </w:r>
            <w:hyperlink r:id="rId11" w:history="1">
              <w:r w:rsidRPr="002D2B73">
                <w:rPr>
                  <w:rStyle w:val="Hyperlink"/>
                  <w:color w:val="000000" w:themeColor="text1"/>
                  <w:sz w:val="22"/>
                  <w:szCs w:val="22"/>
                  <w:lang w:val="en-US"/>
                </w:rPr>
                <w:t>paul.anderson@eueomkenya2017.eu</w:t>
              </w:r>
            </w:hyperlink>
            <w:r w:rsidRPr="002D2B73">
              <w:rPr>
                <w:color w:val="0000FF"/>
                <w:sz w:val="22"/>
                <w:szCs w:val="22"/>
                <w:lang w:val="en-US"/>
              </w:rPr>
              <w:t xml:space="preserve"> </w:t>
            </w:r>
          </w:p>
          <w:p w14:paraId="01712B25" w14:textId="77777777" w:rsidR="00A616E4" w:rsidRPr="002D2B73" w:rsidRDefault="00A616E4" w:rsidP="00A62B6D">
            <w:pPr>
              <w:widowControl w:val="0"/>
              <w:jc w:val="center"/>
              <w:rPr>
                <w:color w:val="000000"/>
                <w:sz w:val="22"/>
                <w:szCs w:val="22"/>
              </w:rPr>
            </w:pPr>
          </w:p>
        </w:tc>
      </w:tr>
    </w:tbl>
    <w:p w14:paraId="6B955B69" w14:textId="77777777" w:rsidR="00A616E4" w:rsidRPr="00CD755B" w:rsidRDefault="00A616E4" w:rsidP="007B442C">
      <w:pPr>
        <w:widowControl w:val="0"/>
        <w:rPr>
          <w:sz w:val="22"/>
          <w:szCs w:val="22"/>
        </w:rPr>
      </w:pPr>
    </w:p>
    <w:sectPr w:rsidR="00A616E4" w:rsidRPr="00CD755B" w:rsidSect="00F25768">
      <w:headerReference w:type="even" r:id="rId12"/>
      <w:headerReference w:type="default" r:id="rId13"/>
      <w:footerReference w:type="even" r:id="rId14"/>
      <w:footerReference w:type="default" r:id="rId15"/>
      <w:headerReference w:type="first" r:id="rId16"/>
      <w:footerReference w:type="first" r:id="rId17"/>
      <w:pgSz w:w="12240" w:h="15840" w:code="1"/>
      <w:pgMar w:top="1191" w:right="1418" w:bottom="1191"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B7E53" w14:textId="77777777" w:rsidR="008D2A6A" w:rsidRDefault="008D2A6A" w:rsidP="009149BE">
      <w:r>
        <w:separator/>
      </w:r>
    </w:p>
  </w:endnote>
  <w:endnote w:type="continuationSeparator" w:id="0">
    <w:p w14:paraId="04212A5C" w14:textId="77777777" w:rsidR="008D2A6A" w:rsidRDefault="008D2A6A" w:rsidP="0091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webkit-standard">
    <w:altName w:val="Times New Roman"/>
    <w:panose1 w:val="00000000000000000000"/>
    <w:charset w:val="00"/>
    <w:family w:val="roman"/>
    <w:notTrueType/>
    <w:pitch w:val="default"/>
  </w:font>
  <w:font w:name="open_sans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8E34F" w14:textId="77777777" w:rsidR="008D2A6A" w:rsidRDefault="008D2A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DB72F" w14:textId="77777777" w:rsidR="008D2A6A" w:rsidRPr="0060572B" w:rsidRDefault="008D2A6A" w:rsidP="002D3DEF">
    <w:pPr>
      <w:pStyle w:val="Footer"/>
      <w:jc w:val="center"/>
      <w:rPr>
        <w:b/>
        <w:bCs/>
        <w:i/>
        <w:iCs/>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C77E6" w14:textId="1E461E99" w:rsidR="008D2A6A" w:rsidRPr="008B0CF5" w:rsidRDefault="008D2A6A" w:rsidP="002D3DEF">
    <w:pPr>
      <w:pStyle w:val="Footer"/>
      <w:jc w:val="center"/>
      <w:rPr>
        <w:b/>
        <w:bCs/>
        <w:i/>
        <w:iCs/>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E4378" w14:textId="77777777" w:rsidR="008D2A6A" w:rsidRDefault="008D2A6A" w:rsidP="009149BE">
      <w:r>
        <w:separator/>
      </w:r>
    </w:p>
  </w:footnote>
  <w:footnote w:type="continuationSeparator" w:id="0">
    <w:p w14:paraId="46679232" w14:textId="77777777" w:rsidR="008D2A6A" w:rsidRDefault="008D2A6A" w:rsidP="009149BE">
      <w:r>
        <w:continuationSeparator/>
      </w:r>
    </w:p>
  </w:footnote>
  <w:footnote w:id="1">
    <w:p w14:paraId="66D15DD8" w14:textId="77777777" w:rsidR="008D2A6A" w:rsidRPr="004C7ECB" w:rsidRDefault="008D2A6A" w:rsidP="005320BF">
      <w:pPr>
        <w:pStyle w:val="FootnoteText"/>
      </w:pPr>
      <w:r w:rsidRPr="004C7ECB">
        <w:rPr>
          <w:rStyle w:val="FootnoteReference"/>
        </w:rPr>
        <w:footnoteRef/>
      </w:r>
      <w:r w:rsidRPr="004C7ECB">
        <w:t xml:space="preserve"> For more information see https://eeas.europa.eu/topics/election-observation-missions-eueoms/421/election-observation-missions-eueoms_en</w:t>
      </w:r>
    </w:p>
  </w:footnote>
  <w:footnote w:id="2">
    <w:p w14:paraId="6FA178E0" w14:textId="5CF41767" w:rsidR="008D2A6A" w:rsidRDefault="008D2A6A">
      <w:pPr>
        <w:pStyle w:val="FootnoteText"/>
      </w:pPr>
      <w:r>
        <w:rPr>
          <w:rStyle w:val="FootnoteReference"/>
        </w:rPr>
        <w:footnoteRef/>
      </w:r>
      <w:r>
        <w:t xml:space="preserve"> </w:t>
      </w:r>
      <w:hyperlink r:id="rId1" w:history="1">
        <w:r w:rsidRPr="00BF08FE">
          <w:t>The</w:t>
        </w:r>
      </w:hyperlink>
      <w:r>
        <w:t xml:space="preserve"> EU EOM Preliminary Statement is available at: </w:t>
      </w:r>
      <w:r w:rsidRPr="005D40DC">
        <w:t>https://eeas.europa.eu/election-observation-missions/eom-kenya-2017/30948/preliminary-statement-eu-eom-general-elections-kenya_en</w:t>
      </w:r>
    </w:p>
  </w:footnote>
  <w:footnote w:id="3">
    <w:p w14:paraId="6E34000C" w14:textId="77777777" w:rsidR="008D2A6A" w:rsidRPr="00A36FAE" w:rsidRDefault="008D2A6A" w:rsidP="00051FEF">
      <w:pPr>
        <w:pStyle w:val="FootnoteText"/>
      </w:pPr>
      <w:r w:rsidRPr="00A36FAE">
        <w:rPr>
          <w:rStyle w:val="FootnoteReference"/>
        </w:rPr>
        <w:footnoteRef/>
      </w:r>
      <w:r w:rsidRPr="00A36FAE">
        <w:t xml:space="preserve"> Constitution of Kenya, article 86(a).</w:t>
      </w:r>
    </w:p>
  </w:footnote>
  <w:footnote w:id="4">
    <w:p w14:paraId="090A1F5C" w14:textId="77777777" w:rsidR="008D2A6A" w:rsidRPr="004C7ECB" w:rsidRDefault="008D2A6A" w:rsidP="005320BF">
      <w:pPr>
        <w:rPr>
          <w:rFonts w:eastAsiaTheme="minorEastAsia"/>
          <w:color w:val="000000"/>
          <w:sz w:val="20"/>
          <w:szCs w:val="20"/>
        </w:rPr>
      </w:pPr>
      <w:r w:rsidRPr="004C7ECB">
        <w:rPr>
          <w:rStyle w:val="FootnoteReference"/>
          <w:sz w:val="20"/>
          <w:szCs w:val="20"/>
        </w:rPr>
        <w:footnoteRef/>
      </w:r>
      <w:r w:rsidRPr="004C7ECB">
        <w:rPr>
          <w:sz w:val="20"/>
          <w:szCs w:val="20"/>
        </w:rPr>
        <w:t xml:space="preserve"> The Constitution of Kenya</w:t>
      </w:r>
      <w:r>
        <w:rPr>
          <w:sz w:val="20"/>
          <w:szCs w:val="20"/>
        </w:rPr>
        <w:t xml:space="preserve"> makes various references to public </w:t>
      </w:r>
      <w:r w:rsidRPr="00315EF4">
        <w:rPr>
          <w:sz w:val="20"/>
          <w:szCs w:val="20"/>
        </w:rPr>
        <w:t xml:space="preserve">participation. </w:t>
      </w:r>
      <w:r w:rsidRPr="00315EF4">
        <w:rPr>
          <w:rFonts w:eastAsiaTheme="minorEastAsia"/>
          <w:color w:val="000000"/>
          <w:sz w:val="20"/>
          <w:szCs w:val="20"/>
        </w:rPr>
        <w:t>Related</w:t>
      </w:r>
      <w:r w:rsidRPr="004C7ECB">
        <w:rPr>
          <w:rFonts w:eastAsiaTheme="minorEastAsia"/>
          <w:color w:val="000000"/>
          <w:sz w:val="20"/>
          <w:szCs w:val="20"/>
        </w:rPr>
        <w:t xml:space="preserve"> international commitments include: "</w:t>
      </w:r>
      <w:r w:rsidRPr="004C7ECB">
        <w:rPr>
          <w:rFonts w:eastAsiaTheme="minorEastAsia"/>
          <w:i/>
          <w:iCs/>
          <w:color w:val="000000"/>
          <w:sz w:val="20"/>
          <w:szCs w:val="20"/>
        </w:rPr>
        <w:t>Each State Party shall take appropriate measures... to promote the active participation of individuals and groups outside the public sector, such as civil society, non-governmental organizations and community-based organizations, in the prevention of and the fight against corruption</w:t>
      </w:r>
      <w:r w:rsidRPr="004C7ECB">
        <w:rPr>
          <w:rFonts w:eastAsiaTheme="minorEastAsia"/>
          <w:color w:val="000000"/>
          <w:sz w:val="20"/>
          <w:szCs w:val="20"/>
        </w:rPr>
        <w:t>". Convention against Corruption (CAC) article 13.</w:t>
      </w:r>
    </w:p>
  </w:footnote>
  <w:footnote w:id="5">
    <w:p w14:paraId="470B9B74" w14:textId="77777777" w:rsidR="008D2A6A" w:rsidRPr="005320BF" w:rsidRDefault="008D2A6A" w:rsidP="005320BF">
      <w:pPr>
        <w:pStyle w:val="FootnoteText"/>
      </w:pPr>
      <w:r w:rsidRPr="004C7ECB">
        <w:rPr>
          <w:rStyle w:val="FootnoteReference"/>
        </w:rPr>
        <w:footnoteRef/>
      </w:r>
      <w:r w:rsidRPr="005320BF">
        <w:t xml:space="preserve"> https://forms.iebc.or.ke.</w:t>
      </w:r>
    </w:p>
  </w:footnote>
  <w:footnote w:id="6">
    <w:p w14:paraId="568B9396" w14:textId="77777777" w:rsidR="008D2A6A" w:rsidRDefault="008D2A6A" w:rsidP="00706CB9">
      <w:pPr>
        <w:pStyle w:val="FootnoteText"/>
      </w:pPr>
      <w:r>
        <w:rPr>
          <w:rStyle w:val="FootnoteReference"/>
        </w:rPr>
        <w:footnoteRef/>
      </w:r>
      <w:r>
        <w:t xml:space="preserve"> </w:t>
      </w:r>
      <w:r w:rsidRPr="004E7E75">
        <w:rPr>
          <w:lang w:val="en-GB"/>
        </w:rPr>
        <w:t xml:space="preserve">The KIEMS results transmission software was designed </w:t>
      </w:r>
      <w:r>
        <w:rPr>
          <w:lang w:val="en-GB"/>
        </w:rPr>
        <w:t xml:space="preserve">so </w:t>
      </w:r>
      <w:r w:rsidRPr="004E7E75">
        <w:rPr>
          <w:lang w:val="en-GB"/>
        </w:rPr>
        <w:t xml:space="preserve">that, for the presidential results, the </w:t>
      </w:r>
      <w:r>
        <w:rPr>
          <w:lang w:val="en-GB"/>
        </w:rPr>
        <w:t>“</w:t>
      </w:r>
      <w:r>
        <w:rPr>
          <w:i/>
          <w:lang w:val="en-GB"/>
        </w:rPr>
        <w:t>send”</w:t>
      </w:r>
      <w:r w:rsidRPr="004E7E75">
        <w:rPr>
          <w:lang w:val="en-GB"/>
        </w:rPr>
        <w:t xml:space="preserve"> button </w:t>
      </w:r>
      <w:r>
        <w:rPr>
          <w:lang w:val="en-GB"/>
        </w:rPr>
        <w:t>could only be used</w:t>
      </w:r>
      <w:r w:rsidRPr="004E7E75">
        <w:rPr>
          <w:lang w:val="en-GB"/>
        </w:rPr>
        <w:t xml:space="preserve"> </w:t>
      </w:r>
      <w:r>
        <w:rPr>
          <w:lang w:val="en-GB"/>
        </w:rPr>
        <w:t>when</w:t>
      </w:r>
      <w:r w:rsidRPr="004E7E75">
        <w:rPr>
          <w:lang w:val="en-GB"/>
        </w:rPr>
        <w:t xml:space="preserve"> </w:t>
      </w:r>
      <w:r>
        <w:rPr>
          <w:lang w:val="en-GB"/>
        </w:rPr>
        <w:t>the</w:t>
      </w:r>
      <w:r w:rsidRPr="004E7E75">
        <w:rPr>
          <w:lang w:val="en-GB"/>
        </w:rPr>
        <w:t xml:space="preserve"> results had been keyed-in and the scanned 34A form had been uploaded. </w:t>
      </w:r>
      <w:r>
        <w:rPr>
          <w:lang w:val="en-GB"/>
        </w:rPr>
        <w:t>However</w:t>
      </w:r>
      <w:r w:rsidRPr="004E7E75">
        <w:rPr>
          <w:lang w:val="en-GB"/>
        </w:rPr>
        <w:t xml:space="preserve"> in case of poor network</w:t>
      </w:r>
      <w:r>
        <w:rPr>
          <w:lang w:val="en-GB"/>
        </w:rPr>
        <w:t xml:space="preserve"> coverage,</w:t>
      </w:r>
      <w:r w:rsidRPr="004E7E75">
        <w:rPr>
          <w:lang w:val="en-GB"/>
        </w:rPr>
        <w:t xml:space="preserve"> the system </w:t>
      </w:r>
      <w:r>
        <w:rPr>
          <w:lang w:val="en-GB"/>
        </w:rPr>
        <w:t>in fact gave a</w:t>
      </w:r>
      <w:r w:rsidRPr="004E7E75">
        <w:rPr>
          <w:lang w:val="en-GB"/>
        </w:rPr>
        <w:t xml:space="preserve"> prom</w:t>
      </w:r>
      <w:r>
        <w:rPr>
          <w:lang w:val="en-GB"/>
        </w:rPr>
        <w:t>pt question</w:t>
      </w:r>
      <w:r w:rsidRPr="004E7E75">
        <w:rPr>
          <w:lang w:val="en-GB"/>
        </w:rPr>
        <w:t xml:space="preserve"> on whether the presiding officer would like to send the keyed-in results without the form. Accepting this </w:t>
      </w:r>
      <w:r>
        <w:rPr>
          <w:lang w:val="en-GB"/>
        </w:rPr>
        <w:t>then</w:t>
      </w:r>
      <w:r w:rsidRPr="004E7E75">
        <w:rPr>
          <w:lang w:val="en-GB"/>
        </w:rPr>
        <w:t xml:space="preserve"> preclude</w:t>
      </w:r>
      <w:r>
        <w:rPr>
          <w:lang w:val="en-GB"/>
        </w:rPr>
        <w:t xml:space="preserve">d the subsequent </w:t>
      </w:r>
      <w:r w:rsidRPr="004E7E75">
        <w:rPr>
          <w:lang w:val="en-GB"/>
        </w:rPr>
        <w:t xml:space="preserve">sending </w:t>
      </w:r>
      <w:r>
        <w:rPr>
          <w:lang w:val="en-GB"/>
        </w:rPr>
        <w:t xml:space="preserve">of </w:t>
      </w:r>
      <w:r w:rsidRPr="004E7E75">
        <w:rPr>
          <w:lang w:val="en-GB"/>
        </w:rPr>
        <w:t>the</w:t>
      </w:r>
      <w:r>
        <w:rPr>
          <w:lang w:val="en-GB"/>
        </w:rPr>
        <w:t xml:space="preserve"> 34A</w:t>
      </w:r>
      <w:r w:rsidRPr="004E7E75">
        <w:rPr>
          <w:lang w:val="en-GB"/>
        </w:rPr>
        <w:t xml:space="preserve"> form, since the transmission could only be </w:t>
      </w:r>
      <w:r>
        <w:rPr>
          <w:lang w:val="en-GB"/>
        </w:rPr>
        <w:t>undertaken</w:t>
      </w:r>
      <w:r w:rsidRPr="004E7E75">
        <w:rPr>
          <w:lang w:val="en-GB"/>
        </w:rPr>
        <w:t xml:space="preserve"> once for each election.</w:t>
      </w:r>
    </w:p>
  </w:footnote>
  <w:footnote w:id="7">
    <w:p w14:paraId="2357842A" w14:textId="56EB9F74" w:rsidR="008D2A6A" w:rsidRPr="004C7ECB" w:rsidRDefault="008D2A6A" w:rsidP="005320BF">
      <w:pPr>
        <w:pStyle w:val="FootnoteText"/>
        <w:rPr>
          <w:i/>
        </w:rPr>
      </w:pPr>
      <w:r w:rsidRPr="004C7ECB">
        <w:rPr>
          <w:rStyle w:val="FootnoteReference"/>
        </w:rPr>
        <w:footnoteRef/>
      </w:r>
      <w:r w:rsidRPr="004C7ECB">
        <w:t xml:space="preserve"> </w:t>
      </w:r>
      <w:r w:rsidRPr="00706CB9">
        <w:t>EU EOM Preliminary Statement.</w:t>
      </w:r>
      <w:r>
        <w:t xml:space="preserve"> </w:t>
      </w:r>
      <w:r w:rsidRPr="004C7ECB">
        <w:t xml:space="preserve">The Elections Act states that for presidential elections the IEBC shall </w:t>
      </w:r>
      <w:r>
        <w:t>“</w:t>
      </w:r>
      <w:r w:rsidRPr="00622BFC">
        <w:rPr>
          <w:i/>
        </w:rPr>
        <w:t>electronically transmit, in the prescribed form, the tabulated results of an election for the President from a polling station to the constituency tallying centre and to the national tallying centre</w:t>
      </w:r>
      <w:r>
        <w:t>.”</w:t>
      </w:r>
      <w:r w:rsidRPr="004C7ECB">
        <w:t xml:space="preserve"> </w:t>
      </w:r>
      <w:r>
        <w:t>Section 39(</w:t>
      </w:r>
      <w:r w:rsidRPr="004C7ECB">
        <w:t>1c).</w:t>
      </w:r>
    </w:p>
  </w:footnote>
  <w:footnote w:id="8">
    <w:p w14:paraId="77108D9E" w14:textId="77777777" w:rsidR="008D2A6A" w:rsidRDefault="008D2A6A" w:rsidP="006B23E0">
      <w:pPr>
        <w:pStyle w:val="FootnoteText"/>
      </w:pPr>
      <w:r>
        <w:rPr>
          <w:rStyle w:val="FootnoteReference"/>
        </w:rPr>
        <w:footnoteRef/>
      </w:r>
      <w:r>
        <w:t xml:space="preserve"> </w:t>
      </w:r>
      <w:r>
        <w:rPr>
          <w:lang w:val="en-GB"/>
        </w:rPr>
        <w:t xml:space="preserve">Such changes in uploaded 34Bs means that </w:t>
      </w:r>
      <w:r w:rsidRPr="00010E6E">
        <w:rPr>
          <w:lang w:val="en-GB"/>
        </w:rPr>
        <w:t xml:space="preserve">analysis </w:t>
      </w:r>
      <w:r>
        <w:rPr>
          <w:lang w:val="en-GB"/>
        </w:rPr>
        <w:t xml:space="preserve">by others at different times </w:t>
      </w:r>
      <w:r w:rsidRPr="00010E6E">
        <w:rPr>
          <w:lang w:val="en-GB"/>
        </w:rPr>
        <w:t>could result in different find</w:t>
      </w:r>
      <w:r>
        <w:rPr>
          <w:lang w:val="en-GB"/>
        </w:rPr>
        <w:t>ings</w:t>
      </w:r>
      <w:r w:rsidRPr="00010E6E">
        <w:rPr>
          <w:lang w:val="en-GB"/>
        </w:rPr>
        <w:t>.</w:t>
      </w:r>
    </w:p>
  </w:footnote>
  <w:footnote w:id="9">
    <w:p w14:paraId="6F75FC9F" w14:textId="6C39D90A" w:rsidR="008D2A6A" w:rsidRPr="004C7ECB" w:rsidRDefault="008D2A6A" w:rsidP="005320BF">
      <w:pPr>
        <w:pStyle w:val="FootnoteText"/>
      </w:pPr>
      <w:r w:rsidRPr="004C7ECB">
        <w:rPr>
          <w:rStyle w:val="FootnoteReference"/>
        </w:rPr>
        <w:footnoteRef/>
      </w:r>
      <w:r w:rsidRPr="004C7ECB">
        <w:t xml:space="preserve"> The election law requires that presidential </w:t>
      </w:r>
      <w:r w:rsidRPr="008041B3">
        <w:t>polling result forms be published</w:t>
      </w:r>
      <w:r w:rsidRPr="004C7ECB">
        <w:rPr>
          <w:i/>
        </w:rPr>
        <w:t xml:space="preserve"> </w:t>
      </w:r>
      <w:r>
        <w:rPr>
          <w:i/>
        </w:rPr>
        <w:t>“</w:t>
      </w:r>
      <w:r w:rsidRPr="004C7ECB">
        <w:rPr>
          <w:i/>
        </w:rPr>
        <w:t>on an online public portal</w:t>
      </w:r>
      <w:r>
        <w:rPr>
          <w:i/>
        </w:rPr>
        <w:t xml:space="preserve"> </w:t>
      </w:r>
      <w:r w:rsidRPr="004C7ECB">
        <w:rPr>
          <w:i/>
        </w:rPr>
        <w:t>maintained by the Commission</w:t>
      </w:r>
      <w:r w:rsidRPr="004C7ECB">
        <w:t>.” Elections Act, section 39(1C)(c).</w:t>
      </w:r>
    </w:p>
  </w:footnote>
  <w:footnote w:id="10">
    <w:p w14:paraId="1C6956E6" w14:textId="55334160" w:rsidR="008D2A6A" w:rsidRPr="004C7ECB" w:rsidRDefault="008D2A6A" w:rsidP="005320BF">
      <w:pPr>
        <w:pStyle w:val="FootnoteText"/>
      </w:pPr>
      <w:r w:rsidRPr="004C7ECB">
        <w:rPr>
          <w:rStyle w:val="FootnoteReference"/>
        </w:rPr>
        <w:footnoteRef/>
      </w:r>
      <w:r w:rsidRPr="004C7ECB">
        <w:t xml:space="preserve"> </w:t>
      </w:r>
      <w:r>
        <w:t xml:space="preserve">This also requires well-organised custody and storage provisions for forms. </w:t>
      </w:r>
      <w:r w:rsidRPr="007B23C0">
        <w:t>Related international commitments include</w:t>
      </w:r>
      <w:r>
        <w:t>:</w:t>
      </w:r>
      <w:r w:rsidRPr="007B23C0">
        <w:rPr>
          <w:bCs/>
        </w:rPr>
        <w:t xml:space="preserve"> </w:t>
      </w:r>
      <w:r w:rsidRPr="004C7ECB">
        <w:rPr>
          <w:color w:val="000000"/>
        </w:rPr>
        <w:t>“</w:t>
      </w:r>
      <w:r w:rsidRPr="004C7ECB">
        <w:rPr>
          <w:i/>
          <w:iCs/>
          <w:color w:val="000000"/>
        </w:rPr>
        <w:t>To ensure that any person whose rights or freedoms as herein recognized are violated shall have an effective remedy, notwithstanding that the violation has been committed by persons acting in an official capacity</w:t>
      </w:r>
      <w:r w:rsidRPr="004C7ECB">
        <w:rPr>
          <w:color w:val="000000"/>
        </w:rPr>
        <w:t xml:space="preserve">.” </w:t>
      </w:r>
      <w:r>
        <w:rPr>
          <w:color w:val="000000"/>
        </w:rPr>
        <w:t>International Convention on Civil and Political Rights (</w:t>
      </w:r>
      <w:r w:rsidRPr="004C7ECB">
        <w:rPr>
          <w:color w:val="000000"/>
        </w:rPr>
        <w:t>ICCPR</w:t>
      </w:r>
      <w:r>
        <w:rPr>
          <w:color w:val="000000"/>
        </w:rPr>
        <w:t>)</w:t>
      </w:r>
      <w:r w:rsidRPr="004C7ECB">
        <w:rPr>
          <w:color w:val="000000"/>
        </w:rPr>
        <w:t xml:space="preserve"> article 2(3)(a).</w:t>
      </w:r>
    </w:p>
  </w:footnote>
  <w:footnote w:id="11">
    <w:p w14:paraId="62D9459D" w14:textId="24206853" w:rsidR="008D2A6A" w:rsidRDefault="008D2A6A">
      <w:pPr>
        <w:pStyle w:val="FootnoteText"/>
      </w:pPr>
      <w:r>
        <w:rPr>
          <w:rStyle w:val="FootnoteReference"/>
        </w:rPr>
        <w:footnoteRef/>
      </w:r>
      <w:r>
        <w:t xml:space="preserve"> The 16 August </w:t>
      </w:r>
      <w:r w:rsidR="00F4557F">
        <w:t xml:space="preserve">EU EOM </w:t>
      </w:r>
      <w:r>
        <w:t xml:space="preserve">statement is available at: </w:t>
      </w:r>
      <w:r w:rsidRPr="00F21F9F">
        <w:t>https://eeas.europa.eu/election-observation-missions/eom-kenya-2017/31126/eu-eom-statement-16-august_en</w:t>
      </w:r>
      <w:r>
        <w:t>.</w:t>
      </w:r>
    </w:p>
  </w:footnote>
  <w:footnote w:id="12">
    <w:p w14:paraId="10378834" w14:textId="024849C0" w:rsidR="008D2A6A" w:rsidRPr="004C7ECB" w:rsidRDefault="008D2A6A" w:rsidP="005320BF">
      <w:pPr>
        <w:rPr>
          <w:rFonts w:eastAsiaTheme="minorEastAsia"/>
          <w:color w:val="000000"/>
          <w:sz w:val="20"/>
          <w:szCs w:val="20"/>
        </w:rPr>
      </w:pPr>
      <w:r w:rsidRPr="004C7ECB">
        <w:rPr>
          <w:rStyle w:val="FootnoteReference"/>
          <w:sz w:val="20"/>
          <w:szCs w:val="20"/>
        </w:rPr>
        <w:footnoteRef/>
      </w:r>
      <w:r w:rsidRPr="004C7ECB">
        <w:rPr>
          <w:sz w:val="20"/>
          <w:szCs w:val="20"/>
        </w:rPr>
        <w:t xml:space="preserve"> The Constitution of Kenya specified that the national values and principles of governance include “</w:t>
      </w:r>
      <w:r w:rsidRPr="004C7ECB">
        <w:rPr>
          <w:i/>
          <w:sz w:val="20"/>
          <w:szCs w:val="20"/>
        </w:rPr>
        <w:t xml:space="preserve">integrity, transparency and accountability” </w:t>
      </w:r>
      <w:r w:rsidRPr="004C7ECB">
        <w:rPr>
          <w:sz w:val="20"/>
          <w:szCs w:val="20"/>
        </w:rPr>
        <w:t xml:space="preserve">(article 10(2)(c)). Article 81 also specifies that </w:t>
      </w:r>
      <w:r w:rsidRPr="008041B3">
        <w:rPr>
          <w:bCs/>
          <w:sz w:val="20"/>
          <w:szCs w:val="20"/>
        </w:rPr>
        <w:t>elections should be</w:t>
      </w:r>
      <w:r w:rsidRPr="004C7ECB">
        <w:rPr>
          <w:sz w:val="20"/>
          <w:szCs w:val="20"/>
        </w:rPr>
        <w:t xml:space="preserve"> transparent. </w:t>
      </w:r>
      <w:r w:rsidRPr="004C7ECB">
        <w:rPr>
          <w:rFonts w:eastAsiaTheme="minorEastAsia"/>
          <w:color w:val="000000"/>
          <w:sz w:val="20"/>
          <w:szCs w:val="20"/>
        </w:rPr>
        <w:t>Related international commitments include: “</w:t>
      </w:r>
      <w:r w:rsidRPr="004C7ECB">
        <w:rPr>
          <w:rFonts w:eastAsiaTheme="minorEastAsia"/>
          <w:i/>
          <w:iCs/>
          <w:color w:val="000000"/>
          <w:sz w:val="20"/>
          <w:szCs w:val="20"/>
        </w:rPr>
        <w:t>Holding of regular, transparent, free and fair elections</w:t>
      </w:r>
      <w:r w:rsidRPr="004C7ECB">
        <w:rPr>
          <w:rFonts w:eastAsiaTheme="minorEastAsia"/>
          <w:color w:val="000000"/>
          <w:sz w:val="20"/>
          <w:szCs w:val="20"/>
        </w:rPr>
        <w:t>”</w:t>
      </w:r>
      <w:r>
        <w:rPr>
          <w:rFonts w:eastAsiaTheme="minorEastAsia"/>
          <w:color w:val="000000"/>
          <w:sz w:val="20"/>
          <w:szCs w:val="20"/>
        </w:rPr>
        <w:t xml:space="preserve">, </w:t>
      </w:r>
      <w:r w:rsidRPr="004C7ECB">
        <w:rPr>
          <w:rFonts w:eastAsiaTheme="minorEastAsia"/>
          <w:color w:val="000000"/>
          <w:sz w:val="20"/>
          <w:szCs w:val="20"/>
        </w:rPr>
        <w:t xml:space="preserve">African Charter on Democracy, Elections and Governance (ACDEG), article 3. </w:t>
      </w:r>
      <w:r>
        <w:rPr>
          <w:rFonts w:eastAsiaTheme="minorEastAsia"/>
          <w:color w:val="000000"/>
          <w:sz w:val="20"/>
          <w:szCs w:val="20"/>
        </w:rPr>
        <w:t>T</w:t>
      </w:r>
      <w:r w:rsidRPr="004C7ECB">
        <w:rPr>
          <w:rFonts w:eastAsiaTheme="minorEastAsia"/>
          <w:color w:val="000000"/>
          <w:sz w:val="20"/>
          <w:szCs w:val="20"/>
        </w:rPr>
        <w:t>he </w:t>
      </w:r>
      <w:r>
        <w:rPr>
          <w:rFonts w:eastAsiaTheme="minorEastAsia"/>
          <w:color w:val="000000"/>
          <w:sz w:val="20"/>
          <w:szCs w:val="20"/>
        </w:rPr>
        <w:t>A</w:t>
      </w:r>
      <w:r w:rsidRPr="004C7ECB">
        <w:rPr>
          <w:rFonts w:eastAsiaTheme="minorEastAsia"/>
          <w:color w:val="000000"/>
          <w:sz w:val="20"/>
          <w:szCs w:val="20"/>
        </w:rPr>
        <w:t>CDEG has been signed but not ratified by Kenya. “</w:t>
      </w:r>
      <w:r w:rsidRPr="004C7ECB">
        <w:rPr>
          <w:rFonts w:eastAsiaTheme="minorEastAsia"/>
          <w:i/>
          <w:iCs/>
          <w:color w:val="000000"/>
          <w:sz w:val="20"/>
          <w:szCs w:val="20"/>
        </w:rPr>
        <w:t>Each State Party shall… endeavo</w:t>
      </w:r>
      <w:r>
        <w:rPr>
          <w:rFonts w:eastAsiaTheme="minorEastAsia"/>
          <w:i/>
          <w:iCs/>
          <w:color w:val="000000"/>
          <w:sz w:val="20"/>
          <w:szCs w:val="20"/>
        </w:rPr>
        <w:t>u</w:t>
      </w:r>
      <w:r w:rsidRPr="004C7ECB">
        <w:rPr>
          <w:rFonts w:eastAsiaTheme="minorEastAsia"/>
          <w:i/>
          <w:iCs/>
          <w:color w:val="000000"/>
          <w:sz w:val="20"/>
          <w:szCs w:val="20"/>
        </w:rPr>
        <w:t>r to adopt, maintain and strengthen systems that promote transparency.</w:t>
      </w:r>
      <w:r w:rsidRPr="004C7ECB">
        <w:rPr>
          <w:rFonts w:eastAsiaTheme="minorEastAsia"/>
          <w:color w:val="000000"/>
          <w:sz w:val="20"/>
          <w:szCs w:val="20"/>
        </w:rPr>
        <w:t>” CAC article 7.4. “</w:t>
      </w:r>
      <w:r w:rsidRPr="004C7ECB">
        <w:rPr>
          <w:rFonts w:eastAsiaTheme="minorEastAsia"/>
          <w:i/>
          <w:iCs/>
          <w:color w:val="000000"/>
          <w:sz w:val="20"/>
          <w:szCs w:val="20"/>
        </w:rPr>
        <w:t>Taking into account the need to combat corruption, each State Party shall … take such measures as may be necessary to enhance transparency in its public administration</w:t>
      </w:r>
      <w:r w:rsidRPr="004C7ECB">
        <w:rPr>
          <w:rFonts w:eastAsiaTheme="minorEastAsia"/>
          <w:color w:val="000000"/>
          <w:sz w:val="20"/>
          <w:szCs w:val="20"/>
        </w:rPr>
        <w:t>” CAC article 10. “</w:t>
      </w:r>
      <w:r w:rsidRPr="004C7ECB">
        <w:rPr>
          <w:rFonts w:eastAsiaTheme="minorEastAsia"/>
          <w:i/>
          <w:iCs/>
          <w:color w:val="000000"/>
          <w:sz w:val="20"/>
          <w:szCs w:val="20"/>
        </w:rPr>
        <w:t>To give effect to the right of access to information, States parties should proactively put in the public domain Government information of public interest.”</w:t>
      </w:r>
      <w:r w:rsidRPr="004C7ECB">
        <w:rPr>
          <w:rFonts w:eastAsiaTheme="minorEastAsia"/>
          <w:color w:val="000000"/>
          <w:sz w:val="20"/>
          <w:szCs w:val="20"/>
        </w:rPr>
        <w:t> </w:t>
      </w:r>
      <w:r w:rsidRPr="004C7ECB" w:rsidDel="00B635B3">
        <w:rPr>
          <w:rFonts w:eastAsiaTheme="minorEastAsia"/>
          <w:color w:val="000000"/>
          <w:sz w:val="20"/>
          <w:szCs w:val="20"/>
        </w:rPr>
        <w:t xml:space="preserve"> </w:t>
      </w:r>
      <w:r w:rsidRPr="004C7ECB">
        <w:rPr>
          <w:rFonts w:eastAsiaTheme="minorEastAsia"/>
          <w:color w:val="000000"/>
          <w:sz w:val="20"/>
          <w:szCs w:val="20"/>
        </w:rPr>
        <w:t>ICCPR</w:t>
      </w:r>
      <w:r>
        <w:rPr>
          <w:rFonts w:eastAsiaTheme="minorEastAsia"/>
          <w:color w:val="000000"/>
          <w:sz w:val="20"/>
          <w:szCs w:val="20"/>
        </w:rPr>
        <w:t>,</w:t>
      </w:r>
      <w:r w:rsidRPr="004C7ECB">
        <w:rPr>
          <w:rFonts w:eastAsiaTheme="minorEastAsia"/>
          <w:color w:val="000000"/>
          <w:sz w:val="20"/>
          <w:szCs w:val="20"/>
        </w:rPr>
        <w:t xml:space="preserve"> General Comment 34 paragraph 19.</w:t>
      </w:r>
    </w:p>
  </w:footnote>
  <w:footnote w:id="13">
    <w:p w14:paraId="3D70F3C7" w14:textId="77777777" w:rsidR="008D2A6A" w:rsidRPr="005320BF" w:rsidRDefault="008D2A6A" w:rsidP="005320BF">
      <w:pPr>
        <w:pStyle w:val="FootnoteText"/>
      </w:pPr>
      <w:r w:rsidRPr="005320BF">
        <w:rPr>
          <w:rStyle w:val="FootnoteReference"/>
        </w:rPr>
        <w:footnoteRef/>
      </w:r>
      <w:r w:rsidRPr="005320BF">
        <w:t xml:space="preserve"> In the days after publication, the EU EOM found four constituencies with a page missing from the scanned 34B (Kandara, Kilgoris, Karachuonyo, and Shinyalu), and one with a duplicated page (Balambala).</w:t>
      </w:r>
    </w:p>
  </w:footnote>
  <w:footnote w:id="14">
    <w:p w14:paraId="73F2EF17" w14:textId="77777777" w:rsidR="008D2A6A" w:rsidRPr="004C7ECB" w:rsidRDefault="008D2A6A" w:rsidP="006B23E0">
      <w:pPr>
        <w:rPr>
          <w:sz w:val="20"/>
          <w:szCs w:val="20"/>
        </w:rPr>
      </w:pPr>
      <w:r w:rsidRPr="004C7ECB">
        <w:rPr>
          <w:sz w:val="20"/>
          <w:szCs w:val="20"/>
          <w:vertAlign w:val="superscript"/>
        </w:rPr>
        <w:footnoteRef/>
      </w:r>
      <w:r w:rsidRPr="004C7ECB">
        <w:rPr>
          <w:sz w:val="20"/>
          <w:szCs w:val="20"/>
          <w:vertAlign w:val="superscript"/>
        </w:rPr>
        <w:t xml:space="preserve"> “</w:t>
      </w:r>
      <w:r w:rsidRPr="004C7ECB">
        <w:rPr>
          <w:i/>
          <w:sz w:val="20"/>
          <w:szCs w:val="20"/>
        </w:rPr>
        <w:t>In several instances, there was a lack of sufficient 32A forms or validation in the system by presiding officers. Furthermore, presiding officers often referred to not being aware of having a backup printed voter register, as they had been instructed to exclusively use the KIEMS for voter identification.”</w:t>
      </w:r>
      <w:r w:rsidRPr="004C7ECB">
        <w:rPr>
          <w:sz w:val="20"/>
          <w:szCs w:val="20"/>
        </w:rPr>
        <w:t xml:space="preserve"> EU EOM Preliminary Statement, 10 August 2017.</w:t>
      </w:r>
    </w:p>
  </w:footnote>
  <w:footnote w:id="15">
    <w:p w14:paraId="3144FEAC" w14:textId="77777777" w:rsidR="008D2A6A" w:rsidRPr="004C7ECB" w:rsidRDefault="008D2A6A" w:rsidP="005320BF">
      <w:pPr>
        <w:pStyle w:val="FootnoteText"/>
      </w:pPr>
      <w:r w:rsidRPr="004C7ECB">
        <w:rPr>
          <w:rStyle w:val="FootnoteReference"/>
        </w:rPr>
        <w:footnoteRef/>
      </w:r>
      <w:r w:rsidRPr="004C7ECB">
        <w:t xml:space="preserve"> Other analysis could result in different findings, given that some 34Bs were replaced online.</w:t>
      </w:r>
    </w:p>
  </w:footnote>
  <w:footnote w:id="16">
    <w:p w14:paraId="3EEADD1C" w14:textId="5BA3C9DD" w:rsidR="008D2A6A" w:rsidRPr="004C7ECB" w:rsidRDefault="008D2A6A" w:rsidP="005320BF">
      <w:pPr>
        <w:rPr>
          <w:bCs/>
          <w:sz w:val="20"/>
          <w:szCs w:val="20"/>
        </w:rPr>
      </w:pPr>
      <w:r w:rsidRPr="004C7ECB">
        <w:rPr>
          <w:rStyle w:val="FootnoteReference"/>
          <w:sz w:val="20"/>
          <w:szCs w:val="20"/>
        </w:rPr>
        <w:footnoteRef/>
      </w:r>
      <w:r w:rsidRPr="004C7ECB">
        <w:rPr>
          <w:sz w:val="20"/>
          <w:szCs w:val="20"/>
        </w:rPr>
        <w:t xml:space="preserve"> </w:t>
      </w:r>
      <w:r w:rsidRPr="004C7ECB">
        <w:rPr>
          <w:bCs/>
          <w:sz w:val="20"/>
          <w:szCs w:val="20"/>
        </w:rPr>
        <w:t xml:space="preserve">The IEBC is a constitutionally </w:t>
      </w:r>
      <w:r w:rsidRPr="004C7ECB">
        <w:rPr>
          <w:bCs/>
          <w:i/>
          <w:sz w:val="20"/>
          <w:szCs w:val="20"/>
        </w:rPr>
        <w:t>independent commission, with article 81 specifying that elections be “conducted by an independent body…</w:t>
      </w:r>
      <w:r w:rsidRPr="004C7ECB">
        <w:rPr>
          <w:i/>
          <w:sz w:val="20"/>
          <w:szCs w:val="20"/>
        </w:rPr>
        <w:t xml:space="preserve"> and administered in an impartial, neutral, efficient, accurate and accountable manner.</w:t>
      </w:r>
      <w:r w:rsidRPr="004C7ECB">
        <w:rPr>
          <w:bCs/>
          <w:sz w:val="20"/>
          <w:szCs w:val="20"/>
        </w:rPr>
        <w:t xml:space="preserve">” </w:t>
      </w:r>
      <w:r w:rsidRPr="004C7ECB">
        <w:rPr>
          <w:rFonts w:eastAsiaTheme="minorEastAsia"/>
          <w:color w:val="000000"/>
          <w:sz w:val="20"/>
          <w:szCs w:val="20"/>
        </w:rPr>
        <w:t>Related international commitments include:</w:t>
      </w:r>
      <w:r w:rsidRPr="004C7ECB">
        <w:rPr>
          <w:bCs/>
          <w:sz w:val="20"/>
          <w:szCs w:val="20"/>
        </w:rPr>
        <w:t xml:space="preserve"> </w:t>
      </w:r>
      <w:r w:rsidRPr="004C7ECB">
        <w:rPr>
          <w:sz w:val="20"/>
          <w:szCs w:val="20"/>
        </w:rPr>
        <w:t>“</w:t>
      </w:r>
      <w:r w:rsidRPr="004C7ECB">
        <w:rPr>
          <w:i/>
          <w:sz w:val="20"/>
          <w:szCs w:val="20"/>
        </w:rPr>
        <w:t xml:space="preserve">Strengthen political institutions to entrench a culture of democracy and peace.” </w:t>
      </w:r>
      <w:r w:rsidRPr="004C7ECB">
        <w:rPr>
          <w:bCs/>
          <w:sz w:val="20"/>
          <w:szCs w:val="20"/>
        </w:rPr>
        <w:t>ACDEG, article 12. “</w:t>
      </w:r>
      <w:r w:rsidRPr="004C7ECB">
        <w:rPr>
          <w:bCs/>
          <w:i/>
          <w:sz w:val="20"/>
          <w:szCs w:val="20"/>
        </w:rPr>
        <w:t>State Parties shall provide the above-mentioned institutions with resources to perform their assigned missions efficiently and effectively.”</w:t>
      </w:r>
      <w:r w:rsidRPr="004C7ECB">
        <w:rPr>
          <w:bCs/>
          <w:sz w:val="20"/>
          <w:szCs w:val="20"/>
        </w:rPr>
        <w:t xml:space="preserve"> ACDEG, article 15.</w:t>
      </w:r>
      <w:r>
        <w:rPr>
          <w:bCs/>
          <w:sz w:val="20"/>
          <w:szCs w:val="20"/>
        </w:rPr>
        <w:t xml:space="preserve"> </w:t>
      </w:r>
      <w:r w:rsidRPr="004C7ECB">
        <w:rPr>
          <w:bCs/>
          <w:sz w:val="20"/>
          <w:szCs w:val="20"/>
        </w:rPr>
        <w:t>“</w:t>
      </w:r>
      <w:r w:rsidRPr="004C7ECB">
        <w:rPr>
          <w:bCs/>
          <w:i/>
          <w:sz w:val="20"/>
          <w:szCs w:val="20"/>
        </w:rPr>
        <w:t>Establish and strengthen independent and impartial national electoral bodies responsible for the management of elections</w:t>
      </w:r>
      <w:r w:rsidRPr="004C7ECB">
        <w:rPr>
          <w:bCs/>
          <w:sz w:val="20"/>
          <w:szCs w:val="20"/>
        </w:rPr>
        <w:t>.” ACDEG, article 17. “</w:t>
      </w:r>
      <w:r w:rsidRPr="004C7ECB">
        <w:rPr>
          <w:bCs/>
          <w:i/>
          <w:sz w:val="20"/>
          <w:szCs w:val="20"/>
        </w:rPr>
        <w:t>An independent electoral authority should be established to supervise the electoral process and to ensure that it is conducted fairly, impartially and in accordance with established laws which are compatible with the Covenant.”</w:t>
      </w:r>
      <w:r w:rsidRPr="004C7ECB">
        <w:rPr>
          <w:bCs/>
          <w:sz w:val="20"/>
          <w:szCs w:val="20"/>
        </w:rPr>
        <w:t xml:space="preserve"> ICCPR, G</w:t>
      </w:r>
      <w:r>
        <w:rPr>
          <w:bCs/>
          <w:sz w:val="20"/>
          <w:szCs w:val="20"/>
        </w:rPr>
        <w:t>eneral Comment</w:t>
      </w:r>
      <w:r w:rsidRPr="004C7ECB">
        <w:rPr>
          <w:bCs/>
          <w:sz w:val="20"/>
          <w:szCs w:val="20"/>
        </w:rPr>
        <w:t xml:space="preserve"> 25, paragraph 20.</w:t>
      </w:r>
    </w:p>
  </w:footnote>
  <w:footnote w:id="17">
    <w:p w14:paraId="53313FBB" w14:textId="77777777" w:rsidR="008D2A6A" w:rsidRPr="004C7ECB" w:rsidRDefault="008D2A6A" w:rsidP="005320BF">
      <w:pPr>
        <w:pStyle w:val="FootnoteText"/>
      </w:pPr>
      <w:r w:rsidRPr="004C7ECB">
        <w:rPr>
          <w:rStyle w:val="FootnoteReference"/>
        </w:rPr>
        <w:footnoteRef/>
      </w:r>
      <w:r w:rsidRPr="004C7ECB">
        <w:t xml:space="preserve"> </w:t>
      </w:r>
      <w:r w:rsidRPr="004C7ECB">
        <w:rPr>
          <w:bCs/>
        </w:rPr>
        <w:t>The Constitution of Kenya specifies in article 81 that elections should be</w:t>
      </w:r>
      <w:r w:rsidRPr="004C7ECB">
        <w:rPr>
          <w:bCs/>
          <w:i/>
        </w:rPr>
        <w:t xml:space="preserve"> “free from violence, intimidation, improper influence or corruption”.</w:t>
      </w:r>
    </w:p>
  </w:footnote>
  <w:footnote w:id="18">
    <w:p w14:paraId="009E8696" w14:textId="5F05F14C" w:rsidR="008D2A6A" w:rsidRPr="00397C3F" w:rsidRDefault="008D2A6A" w:rsidP="00DA4C6D">
      <w:pPr>
        <w:pStyle w:val="FootnoteText"/>
        <w:rPr>
          <w:color w:val="000000"/>
          <w:lang w:val="en-GB"/>
        </w:rPr>
      </w:pPr>
      <w:r w:rsidRPr="004C7ECB">
        <w:rPr>
          <w:rStyle w:val="FootnoteReference"/>
        </w:rPr>
        <w:footnoteRef/>
      </w:r>
      <w:r w:rsidRPr="004C7ECB">
        <w:t xml:space="preserve"> Working with the Election Offences Act</w:t>
      </w:r>
      <w:r>
        <w:t>,</w:t>
      </w:r>
      <w:r w:rsidRPr="004C7ECB">
        <w:t xml:space="preserve"> the </w:t>
      </w:r>
      <w:r w:rsidRPr="004C7ECB">
        <w:rPr>
          <w:color w:val="000000"/>
        </w:rPr>
        <w:t>National Cohesion and Integration Act</w:t>
      </w:r>
      <w:r>
        <w:rPr>
          <w:color w:val="000000"/>
        </w:rPr>
        <w:t>,</w:t>
      </w:r>
      <w:r w:rsidRPr="004C7ECB">
        <w:rPr>
          <w:color w:val="000000"/>
        </w:rPr>
        <w:t xml:space="preserve"> </w:t>
      </w:r>
      <w:r>
        <w:rPr>
          <w:color w:val="000000"/>
        </w:rPr>
        <w:t xml:space="preserve">the </w:t>
      </w:r>
      <w:r w:rsidRPr="00436D70">
        <w:rPr>
          <w:color w:val="000000"/>
          <w:lang w:val="en-GB"/>
        </w:rPr>
        <w:t xml:space="preserve">Leadership and Integrity Act, </w:t>
      </w:r>
      <w:r>
        <w:rPr>
          <w:color w:val="000000"/>
          <w:lang w:val="en-GB"/>
        </w:rPr>
        <w:t xml:space="preserve">and the </w:t>
      </w:r>
      <w:r w:rsidRPr="00436D70">
        <w:rPr>
          <w:color w:val="000000"/>
          <w:lang w:val="en-GB"/>
        </w:rPr>
        <w:t>IEBC Act</w:t>
      </w:r>
      <w:r>
        <w:rPr>
          <w:color w:val="000000"/>
        </w:rPr>
        <w:t>.</w:t>
      </w:r>
    </w:p>
  </w:footnote>
  <w:footnote w:id="19">
    <w:p w14:paraId="5C9DD393" w14:textId="77777777" w:rsidR="008D2A6A" w:rsidRPr="004C7ECB" w:rsidRDefault="008D2A6A" w:rsidP="00DA4C6D">
      <w:pPr>
        <w:pStyle w:val="FootnoteText"/>
      </w:pPr>
      <w:r w:rsidRPr="004C7ECB">
        <w:rPr>
          <w:rStyle w:val="FootnoteReference"/>
        </w:rPr>
        <w:footnoteRef/>
      </w:r>
      <w:r w:rsidRPr="004C7ECB">
        <w:t xml:space="preserve"> Related international commitments include:</w:t>
      </w:r>
      <w:r w:rsidRPr="004C7ECB">
        <w:rPr>
          <w:bCs/>
        </w:rPr>
        <w:t xml:space="preserve"> </w:t>
      </w:r>
      <w:r w:rsidRPr="004C7ECB">
        <w:rPr>
          <w:bCs/>
          <w:i/>
          <w:lang w:val="en-GB"/>
        </w:rPr>
        <w:t>"Any abusive interference with registration or voting as well as intimidation or coercion of voters should be prohibited by penal laws and those laws should be strictly enforced."</w:t>
      </w:r>
      <w:r w:rsidRPr="004C7ECB">
        <w:rPr>
          <w:bCs/>
          <w:lang w:val="en-GB"/>
        </w:rPr>
        <w:t xml:space="preserve"> ICCPR G</w:t>
      </w:r>
      <w:r>
        <w:rPr>
          <w:bCs/>
          <w:lang w:val="en-GB"/>
        </w:rPr>
        <w:t>eneral Comment</w:t>
      </w:r>
      <w:r w:rsidRPr="004C7ECB">
        <w:rPr>
          <w:bCs/>
          <w:lang w:val="en-GB"/>
        </w:rPr>
        <w:t xml:space="preserve"> 25, paragraph 11.</w:t>
      </w:r>
    </w:p>
  </w:footnote>
  <w:footnote w:id="20">
    <w:p w14:paraId="2366CA7E" w14:textId="48B6C254" w:rsidR="008D2A6A" w:rsidRPr="004C7ECB" w:rsidRDefault="008D2A6A" w:rsidP="005320BF">
      <w:pPr>
        <w:rPr>
          <w:bCs/>
          <w:color w:val="000000"/>
          <w:sz w:val="20"/>
          <w:szCs w:val="20"/>
        </w:rPr>
      </w:pPr>
      <w:r w:rsidRPr="004C7ECB">
        <w:rPr>
          <w:rStyle w:val="FootnoteReference"/>
          <w:sz w:val="20"/>
          <w:szCs w:val="20"/>
        </w:rPr>
        <w:footnoteRef/>
      </w:r>
      <w:r w:rsidRPr="004C7ECB">
        <w:rPr>
          <w:sz w:val="20"/>
          <w:szCs w:val="20"/>
        </w:rPr>
        <w:t xml:space="preserve"> </w:t>
      </w:r>
      <w:r w:rsidRPr="004C7ECB">
        <w:rPr>
          <w:rFonts w:eastAsiaTheme="minorEastAsia"/>
          <w:color w:val="000000"/>
          <w:sz w:val="20"/>
          <w:szCs w:val="20"/>
        </w:rPr>
        <w:t>Related international commitments include:</w:t>
      </w:r>
      <w:r w:rsidRPr="004C7ECB">
        <w:rPr>
          <w:bCs/>
          <w:sz w:val="20"/>
          <w:szCs w:val="20"/>
        </w:rPr>
        <w:t xml:space="preserve"> </w:t>
      </w:r>
      <w:r w:rsidRPr="004C7ECB">
        <w:rPr>
          <w:bCs/>
          <w:color w:val="000000"/>
          <w:sz w:val="20"/>
          <w:szCs w:val="20"/>
        </w:rPr>
        <w:t>“</w:t>
      </w:r>
      <w:r w:rsidRPr="004C7ECB">
        <w:rPr>
          <w:bCs/>
          <w:i/>
          <w:color w:val="000000"/>
          <w:sz w:val="20"/>
          <w:szCs w:val="20"/>
        </w:rPr>
        <w:t>Create an enabling environment that will enable civil society and the media to hold governments to the highest levels of transparency and accountability in the management of public affairs.”</w:t>
      </w:r>
      <w:r w:rsidRPr="004C7ECB">
        <w:rPr>
          <w:bCs/>
          <w:color w:val="000000"/>
          <w:sz w:val="20"/>
          <w:szCs w:val="20"/>
        </w:rPr>
        <w:t xml:space="preserve"> </w:t>
      </w:r>
      <w:r w:rsidRPr="004C7ECB">
        <w:rPr>
          <w:color w:val="000000"/>
          <w:sz w:val="20"/>
          <w:szCs w:val="20"/>
        </w:rPr>
        <w:t xml:space="preserve">Convention on Preventing and Combatting Corruption </w:t>
      </w:r>
      <w:r w:rsidRPr="004C7ECB">
        <w:rPr>
          <w:bCs/>
          <w:color w:val="000000"/>
          <w:sz w:val="20"/>
          <w:szCs w:val="20"/>
        </w:rPr>
        <w:t>(</w:t>
      </w:r>
      <w:r w:rsidRPr="004C7ECB">
        <w:rPr>
          <w:color w:val="000000"/>
          <w:sz w:val="20"/>
          <w:szCs w:val="20"/>
        </w:rPr>
        <w:t xml:space="preserve">CPCC) article 12. </w:t>
      </w:r>
      <w:r w:rsidRPr="004C7ECB">
        <w:rPr>
          <w:bCs/>
          <w:color w:val="000000"/>
          <w:sz w:val="20"/>
          <w:szCs w:val="20"/>
        </w:rPr>
        <w:t>“</w:t>
      </w:r>
      <w:r w:rsidRPr="004C7ECB">
        <w:rPr>
          <w:bCs/>
          <w:i/>
          <w:color w:val="000000"/>
          <w:sz w:val="20"/>
          <w:szCs w:val="20"/>
        </w:rPr>
        <w:t>State Parties</w:t>
      </w:r>
      <w:r>
        <w:rPr>
          <w:bCs/>
          <w:i/>
          <w:color w:val="000000"/>
          <w:sz w:val="20"/>
          <w:szCs w:val="20"/>
        </w:rPr>
        <w:t>..</w:t>
      </w:r>
      <w:r w:rsidRPr="004C7ECB">
        <w:rPr>
          <w:bCs/>
          <w:i/>
          <w:color w:val="000000"/>
          <w:sz w:val="20"/>
          <w:szCs w:val="20"/>
        </w:rPr>
        <w:t>.</w:t>
      </w:r>
      <w:r>
        <w:rPr>
          <w:bCs/>
          <w:i/>
          <w:color w:val="000000"/>
          <w:sz w:val="20"/>
          <w:szCs w:val="20"/>
        </w:rPr>
        <w:t xml:space="preserve"> Create conducive conditions for civil society organizations to exist and operate within the law</w:t>
      </w:r>
      <w:r w:rsidRPr="004C7ECB">
        <w:rPr>
          <w:bCs/>
          <w:i/>
          <w:color w:val="000000"/>
          <w:sz w:val="20"/>
          <w:szCs w:val="20"/>
        </w:rPr>
        <w:t>”</w:t>
      </w:r>
      <w:r>
        <w:rPr>
          <w:bCs/>
          <w:color w:val="000000"/>
          <w:sz w:val="20"/>
          <w:szCs w:val="20"/>
        </w:rPr>
        <w:t xml:space="preserve"> ACDEG, article 1</w:t>
      </w:r>
      <w:r w:rsidRPr="004C7ECB">
        <w:rPr>
          <w:bCs/>
          <w:color w:val="000000"/>
          <w:sz w:val="20"/>
          <w:szCs w:val="20"/>
        </w:rPr>
        <w:t>2.</w:t>
      </w:r>
      <w:r>
        <w:rPr>
          <w:bCs/>
          <w:color w:val="000000"/>
          <w:sz w:val="20"/>
          <w:szCs w:val="20"/>
        </w:rPr>
        <w:t xml:space="preserve"> </w:t>
      </w:r>
      <w:r w:rsidRPr="004C7ECB">
        <w:rPr>
          <w:bCs/>
          <w:color w:val="000000"/>
          <w:sz w:val="20"/>
          <w:szCs w:val="20"/>
        </w:rPr>
        <w:t>“</w:t>
      </w:r>
      <w:r w:rsidRPr="004C7ECB">
        <w:rPr>
          <w:bCs/>
          <w:i/>
          <w:color w:val="000000"/>
          <w:sz w:val="20"/>
          <w:szCs w:val="20"/>
        </w:rPr>
        <w:t>State Parties</w:t>
      </w:r>
      <w:r>
        <w:rPr>
          <w:bCs/>
          <w:i/>
          <w:color w:val="000000"/>
          <w:sz w:val="20"/>
          <w:szCs w:val="20"/>
        </w:rPr>
        <w:t xml:space="preserve"> shall take measures to ensure and maintain political and social dialogue, as well as public trust and transparency between political leaders and the people, in order to consolidate democracy and peace.</w:t>
      </w:r>
      <w:r w:rsidRPr="004C7ECB">
        <w:rPr>
          <w:bCs/>
          <w:i/>
          <w:color w:val="000000"/>
          <w:sz w:val="20"/>
          <w:szCs w:val="20"/>
        </w:rPr>
        <w:t>”</w:t>
      </w:r>
      <w:r>
        <w:rPr>
          <w:bCs/>
          <w:color w:val="000000"/>
          <w:sz w:val="20"/>
          <w:szCs w:val="20"/>
        </w:rPr>
        <w:t xml:space="preserve"> ACDEG, article 13.</w:t>
      </w:r>
      <w:r w:rsidRPr="004C7ECB">
        <w:rPr>
          <w:bCs/>
          <w:color w:val="000000"/>
          <w:sz w:val="20"/>
          <w:szCs w:val="20"/>
        </w:rPr>
        <w:t xml:space="preserve"> “</w:t>
      </w:r>
      <w:r w:rsidRPr="004C7ECB">
        <w:rPr>
          <w:bCs/>
          <w:i/>
          <w:color w:val="000000"/>
          <w:sz w:val="20"/>
          <w:szCs w:val="20"/>
        </w:rPr>
        <w:t>State Parties shall create a conducive environment for independent and impartial national monitoring or observation mechanisms.”</w:t>
      </w:r>
      <w:r w:rsidRPr="004C7ECB">
        <w:rPr>
          <w:bCs/>
          <w:color w:val="000000"/>
          <w:sz w:val="20"/>
          <w:szCs w:val="20"/>
        </w:rPr>
        <w:t xml:space="preserve"> ACDEG, article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2115" w14:textId="30C2D230" w:rsidR="008D2A6A" w:rsidRDefault="008D2A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6" w:type="dxa"/>
      <w:tblLook w:val="01E0" w:firstRow="1" w:lastRow="1" w:firstColumn="1" w:lastColumn="1" w:noHBand="0" w:noVBand="0"/>
    </w:tblPr>
    <w:tblGrid>
      <w:gridCol w:w="4788"/>
      <w:gridCol w:w="4680"/>
    </w:tblGrid>
    <w:tr w:rsidR="008D2A6A" w:rsidRPr="00134BF7" w14:paraId="5A152D9D" w14:textId="77777777">
      <w:trPr>
        <w:trHeight w:val="720"/>
      </w:trPr>
      <w:tc>
        <w:tcPr>
          <w:tcW w:w="4788" w:type="dxa"/>
          <w:tcBorders>
            <w:bottom w:val="single" w:sz="4" w:space="0" w:color="auto"/>
          </w:tcBorders>
        </w:tcPr>
        <w:p w14:paraId="5EF42E32" w14:textId="1E976322" w:rsidR="008D2A6A" w:rsidRPr="00E94F10" w:rsidRDefault="008D2A6A" w:rsidP="002D3DEF">
          <w:pPr>
            <w:pStyle w:val="Header"/>
            <w:rPr>
              <w:b/>
              <w:bCs/>
              <w:sz w:val="18"/>
              <w:szCs w:val="18"/>
            </w:rPr>
          </w:pPr>
          <w:r w:rsidRPr="00E94F10">
            <w:rPr>
              <w:b/>
              <w:bCs/>
              <w:sz w:val="18"/>
              <w:szCs w:val="18"/>
            </w:rPr>
            <w:t>EU Election Observation Mission</w:t>
          </w:r>
        </w:p>
        <w:p w14:paraId="1E0C3892" w14:textId="28CDB5EF" w:rsidR="008D2A6A" w:rsidRPr="00E94F10" w:rsidRDefault="008D2A6A" w:rsidP="002D3DEF">
          <w:pPr>
            <w:pStyle w:val="Header"/>
            <w:rPr>
              <w:b/>
              <w:bCs/>
              <w:sz w:val="18"/>
              <w:szCs w:val="18"/>
            </w:rPr>
          </w:pPr>
          <w:r>
            <w:rPr>
              <w:b/>
              <w:bCs/>
              <w:i/>
              <w:iCs/>
              <w:color w:val="000000"/>
              <w:sz w:val="18"/>
              <w:szCs w:val="18"/>
            </w:rPr>
            <w:t>Kenya, general elections</w:t>
          </w:r>
        </w:p>
        <w:p w14:paraId="55E2F282" w14:textId="77777777" w:rsidR="008D2A6A" w:rsidRPr="00E94F10" w:rsidRDefault="008D2A6A" w:rsidP="002D3DEF">
          <w:pPr>
            <w:pStyle w:val="Header"/>
            <w:rPr>
              <w:sz w:val="18"/>
              <w:szCs w:val="18"/>
            </w:rPr>
          </w:pPr>
        </w:p>
      </w:tc>
      <w:tc>
        <w:tcPr>
          <w:tcW w:w="4680" w:type="dxa"/>
          <w:tcBorders>
            <w:bottom w:val="single" w:sz="4" w:space="0" w:color="auto"/>
          </w:tcBorders>
        </w:tcPr>
        <w:p w14:paraId="7E7E4B47" w14:textId="4C814AF1" w:rsidR="008D2A6A" w:rsidRPr="00E94F10" w:rsidRDefault="008D2A6A" w:rsidP="00E94F10">
          <w:pPr>
            <w:pStyle w:val="Header"/>
            <w:jc w:val="right"/>
            <w:rPr>
              <w:b/>
              <w:bCs/>
              <w:sz w:val="18"/>
              <w:szCs w:val="18"/>
            </w:rPr>
          </w:pPr>
          <w:r>
            <w:rPr>
              <w:b/>
              <w:bCs/>
              <w:sz w:val="18"/>
              <w:szCs w:val="18"/>
            </w:rPr>
            <w:t>Interim</w:t>
          </w:r>
          <w:r w:rsidRPr="00E94F10">
            <w:rPr>
              <w:b/>
              <w:bCs/>
              <w:sz w:val="18"/>
              <w:szCs w:val="18"/>
            </w:rPr>
            <w:t xml:space="preserve"> Statement</w:t>
          </w:r>
          <w:r>
            <w:rPr>
              <w:b/>
              <w:bCs/>
              <w:sz w:val="18"/>
              <w:szCs w:val="18"/>
            </w:rPr>
            <w:t xml:space="preserve">, </w:t>
          </w:r>
          <w:r w:rsidRPr="001409A0">
            <w:rPr>
              <w:b/>
              <w:bCs/>
              <w:sz w:val="18"/>
              <w:szCs w:val="18"/>
            </w:rPr>
            <w:t>14</w:t>
          </w:r>
          <w:r>
            <w:rPr>
              <w:b/>
              <w:bCs/>
              <w:sz w:val="18"/>
              <w:szCs w:val="18"/>
            </w:rPr>
            <w:t xml:space="preserve"> September 2017</w:t>
          </w:r>
          <w:r w:rsidRPr="00E94F10">
            <w:rPr>
              <w:b/>
              <w:bCs/>
              <w:sz w:val="18"/>
              <w:szCs w:val="18"/>
            </w:rPr>
            <w:t xml:space="preserve">  </w:t>
          </w:r>
        </w:p>
        <w:p w14:paraId="5086AFDA" w14:textId="0B04A753" w:rsidR="008D2A6A" w:rsidRPr="00E94F10" w:rsidRDefault="008D2A6A" w:rsidP="00AA33CE">
          <w:pPr>
            <w:pStyle w:val="Header"/>
            <w:jc w:val="right"/>
            <w:rPr>
              <w:b/>
              <w:bCs/>
              <w:sz w:val="18"/>
              <w:szCs w:val="18"/>
            </w:rPr>
          </w:pPr>
          <w:r w:rsidRPr="00E94F10">
            <w:rPr>
              <w:b/>
              <w:bCs/>
              <w:sz w:val="18"/>
              <w:szCs w:val="18"/>
            </w:rPr>
            <w:t xml:space="preserve">Page </w:t>
          </w:r>
          <w:r w:rsidRPr="00E94F10">
            <w:rPr>
              <w:rStyle w:val="PageNumber"/>
              <w:b/>
              <w:bCs/>
              <w:sz w:val="18"/>
              <w:szCs w:val="18"/>
            </w:rPr>
            <w:fldChar w:fldCharType="begin"/>
          </w:r>
          <w:r w:rsidRPr="00E94F10">
            <w:rPr>
              <w:rStyle w:val="PageNumber"/>
              <w:b/>
              <w:bCs/>
              <w:sz w:val="18"/>
              <w:szCs w:val="18"/>
            </w:rPr>
            <w:instrText xml:space="preserve"> PAGE </w:instrText>
          </w:r>
          <w:r w:rsidRPr="00E94F10">
            <w:rPr>
              <w:rStyle w:val="PageNumber"/>
              <w:b/>
              <w:bCs/>
              <w:sz w:val="18"/>
              <w:szCs w:val="18"/>
            </w:rPr>
            <w:fldChar w:fldCharType="separate"/>
          </w:r>
          <w:r w:rsidR="004B363B">
            <w:rPr>
              <w:rStyle w:val="PageNumber"/>
              <w:b/>
              <w:bCs/>
              <w:noProof/>
              <w:sz w:val="18"/>
              <w:szCs w:val="18"/>
            </w:rPr>
            <w:t>2</w:t>
          </w:r>
          <w:r w:rsidRPr="00E94F10">
            <w:rPr>
              <w:rStyle w:val="PageNumber"/>
              <w:b/>
              <w:bCs/>
              <w:sz w:val="18"/>
              <w:szCs w:val="18"/>
            </w:rPr>
            <w:fldChar w:fldCharType="end"/>
          </w:r>
          <w:r w:rsidRPr="00E94F10">
            <w:rPr>
              <w:rStyle w:val="PageNumber"/>
              <w:b/>
              <w:bCs/>
              <w:sz w:val="18"/>
              <w:szCs w:val="18"/>
            </w:rPr>
            <w:t xml:space="preserve"> of </w:t>
          </w:r>
          <w:r w:rsidRPr="00E94F10">
            <w:rPr>
              <w:rStyle w:val="PageNumber"/>
              <w:b/>
              <w:bCs/>
              <w:sz w:val="18"/>
              <w:szCs w:val="18"/>
            </w:rPr>
            <w:fldChar w:fldCharType="begin"/>
          </w:r>
          <w:r w:rsidRPr="00E94F10">
            <w:rPr>
              <w:rStyle w:val="PageNumber"/>
              <w:b/>
              <w:bCs/>
              <w:sz w:val="18"/>
              <w:szCs w:val="18"/>
            </w:rPr>
            <w:instrText xml:space="preserve"> NUMPAGES </w:instrText>
          </w:r>
          <w:r w:rsidRPr="00E94F10">
            <w:rPr>
              <w:rStyle w:val="PageNumber"/>
              <w:b/>
              <w:bCs/>
              <w:sz w:val="18"/>
              <w:szCs w:val="18"/>
            </w:rPr>
            <w:fldChar w:fldCharType="separate"/>
          </w:r>
          <w:r w:rsidR="004B363B">
            <w:rPr>
              <w:rStyle w:val="PageNumber"/>
              <w:b/>
              <w:bCs/>
              <w:noProof/>
              <w:sz w:val="18"/>
              <w:szCs w:val="18"/>
            </w:rPr>
            <w:t>10</w:t>
          </w:r>
          <w:r w:rsidRPr="00E94F10">
            <w:rPr>
              <w:rStyle w:val="PageNumber"/>
              <w:b/>
              <w:bCs/>
              <w:sz w:val="18"/>
              <w:szCs w:val="18"/>
            </w:rPr>
            <w:fldChar w:fldCharType="end"/>
          </w:r>
        </w:p>
      </w:tc>
    </w:tr>
  </w:tbl>
  <w:p w14:paraId="7983BDB1" w14:textId="77777777" w:rsidR="008D2A6A" w:rsidRDefault="008D2A6A" w:rsidP="002D3DEF">
    <w:pPr>
      <w:pStyle w:val="Header"/>
      <w:rPr>
        <w:sz w:val="8"/>
        <w:szCs w:val="8"/>
      </w:rPr>
    </w:pPr>
  </w:p>
  <w:p w14:paraId="4E113173" w14:textId="77777777" w:rsidR="008D2A6A" w:rsidRDefault="008D2A6A" w:rsidP="002D3DEF">
    <w:pPr>
      <w:pStyle w:val="Header"/>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6" w:type="dxa"/>
      <w:tblLook w:val="01E0" w:firstRow="1" w:lastRow="1" w:firstColumn="1" w:lastColumn="1" w:noHBand="0" w:noVBand="0"/>
    </w:tblPr>
    <w:tblGrid>
      <w:gridCol w:w="1866"/>
      <w:gridCol w:w="7860"/>
    </w:tblGrid>
    <w:tr w:rsidR="008D2A6A" w:rsidRPr="00A1426F" w14:paraId="1935E0E5" w14:textId="77777777">
      <w:tc>
        <w:tcPr>
          <w:tcW w:w="1668" w:type="dxa"/>
        </w:tcPr>
        <w:p w14:paraId="3EBB2DE3" w14:textId="3D06562D" w:rsidR="008D2A6A" w:rsidRDefault="008D2A6A" w:rsidP="002D3DEF">
          <w:pPr>
            <w:pStyle w:val="Header"/>
          </w:pPr>
          <w:r>
            <w:rPr>
              <w:noProof/>
              <w:lang w:eastAsia="en-GB"/>
            </w:rPr>
            <w:drawing>
              <wp:inline distT="0" distB="0" distL="0" distR="0" wp14:anchorId="56DBD410" wp14:editId="57B75C99">
                <wp:extent cx="1046686" cy="666750"/>
                <wp:effectExtent l="0" t="0" r="1270" b="0"/>
                <wp:docPr id="1" name="Picture 1" descr="A drawing of a cartoon character&#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 LOGO.png"/>
                        <pic:cNvPicPr/>
                      </pic:nvPicPr>
                      <pic:blipFill>
                        <a:blip r:embed="rId1"/>
                        <a:stretch>
                          <a:fillRect/>
                        </a:stretch>
                      </pic:blipFill>
                      <pic:spPr>
                        <a:xfrm>
                          <a:off x="0" y="0"/>
                          <a:ext cx="1059227" cy="674739"/>
                        </a:xfrm>
                        <a:prstGeom prst="rect">
                          <a:avLst/>
                        </a:prstGeom>
                      </pic:spPr>
                    </pic:pic>
                  </a:graphicData>
                </a:graphic>
              </wp:inline>
            </w:drawing>
          </w:r>
        </w:p>
      </w:tc>
      <w:tc>
        <w:tcPr>
          <w:tcW w:w="7908" w:type="dxa"/>
          <w:tcBorders>
            <w:bottom w:val="single" w:sz="4" w:space="0" w:color="auto"/>
          </w:tcBorders>
        </w:tcPr>
        <w:p w14:paraId="2DDC2E3D" w14:textId="77777777" w:rsidR="008D2A6A" w:rsidRPr="00A1426F" w:rsidRDefault="008D2A6A" w:rsidP="002D3DEF">
          <w:pPr>
            <w:pStyle w:val="Header"/>
            <w:rPr>
              <w:rFonts w:ascii="Arial" w:hAnsi="Arial" w:cs="Arial"/>
              <w:b/>
              <w:bCs/>
            </w:rPr>
          </w:pPr>
          <w:r w:rsidRPr="00A1426F">
            <w:rPr>
              <w:rFonts w:ascii="Arial" w:hAnsi="Arial" w:cs="Arial"/>
              <w:b/>
              <w:bCs/>
            </w:rPr>
            <w:t>European Union Election Observation Mission</w:t>
          </w:r>
        </w:p>
        <w:p w14:paraId="72E6ACA7" w14:textId="730A08E0" w:rsidR="008D2A6A" w:rsidRPr="00A1426F" w:rsidRDefault="008D2A6A" w:rsidP="002D3DEF">
          <w:pPr>
            <w:pStyle w:val="Header"/>
            <w:rPr>
              <w:rFonts w:ascii="Arial" w:hAnsi="Arial" w:cs="Arial"/>
              <w:b/>
              <w:bCs/>
            </w:rPr>
          </w:pPr>
          <w:r>
            <w:rPr>
              <w:rFonts w:ascii="Arial" w:hAnsi="Arial" w:cs="Arial"/>
              <w:b/>
              <w:bCs/>
            </w:rPr>
            <w:t>Republic of Kenya</w:t>
          </w:r>
          <w:r w:rsidRPr="00A1426F">
            <w:rPr>
              <w:rFonts w:ascii="Arial" w:hAnsi="Arial" w:cs="Arial"/>
              <w:b/>
              <w:bCs/>
            </w:rPr>
            <w:t xml:space="preserve"> </w:t>
          </w:r>
        </w:p>
        <w:p w14:paraId="167A8259" w14:textId="77777777" w:rsidR="008D2A6A" w:rsidRPr="00A1426F" w:rsidRDefault="008D2A6A" w:rsidP="002D3DEF">
          <w:pPr>
            <w:pStyle w:val="Header"/>
            <w:rPr>
              <w:rFonts w:ascii="Arial" w:hAnsi="Arial" w:cs="Arial"/>
              <w:sz w:val="8"/>
              <w:szCs w:val="8"/>
            </w:rPr>
          </w:pPr>
        </w:p>
        <w:p w14:paraId="6A180BBA" w14:textId="147375F0" w:rsidR="008D2A6A" w:rsidRPr="00A1426F" w:rsidRDefault="008D2A6A" w:rsidP="002D3DEF">
          <w:pPr>
            <w:pStyle w:val="Header"/>
            <w:rPr>
              <w:rFonts w:ascii="Arial" w:hAnsi="Arial" w:cs="Arial"/>
              <w:sz w:val="2"/>
              <w:szCs w:val="2"/>
            </w:rPr>
          </w:pPr>
          <w:r>
            <w:rPr>
              <w:rFonts w:ascii="Arial" w:eastAsia="Calibri" w:hAnsi="Arial" w:cs="Arial"/>
              <w:bCs/>
              <w:color w:val="000000"/>
            </w:rPr>
            <w:t>General elections 2017</w:t>
          </w:r>
        </w:p>
        <w:p w14:paraId="3786D0B0" w14:textId="77777777" w:rsidR="008D2A6A" w:rsidRPr="00A1426F" w:rsidRDefault="008D2A6A" w:rsidP="002D3DEF">
          <w:pPr>
            <w:pStyle w:val="Header"/>
            <w:rPr>
              <w:rFonts w:ascii="Arial" w:hAnsi="Arial" w:cs="Arial"/>
              <w:sz w:val="2"/>
              <w:szCs w:val="2"/>
            </w:rPr>
          </w:pPr>
        </w:p>
        <w:p w14:paraId="4A00BBEA" w14:textId="77777777" w:rsidR="008D2A6A" w:rsidRPr="00A1426F" w:rsidRDefault="008D2A6A" w:rsidP="002D3DEF">
          <w:pPr>
            <w:pStyle w:val="Header"/>
            <w:rPr>
              <w:sz w:val="2"/>
              <w:szCs w:val="2"/>
            </w:rPr>
          </w:pPr>
        </w:p>
      </w:tc>
    </w:tr>
  </w:tbl>
  <w:p w14:paraId="43015F59" w14:textId="77777777" w:rsidR="008D2A6A" w:rsidRPr="00A1426F" w:rsidRDefault="008D2A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61E59"/>
    <w:multiLevelType w:val="hybridMultilevel"/>
    <w:tmpl w:val="04686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7F72EB8"/>
    <w:multiLevelType w:val="hybridMultilevel"/>
    <w:tmpl w:val="25F6D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09373331"/>
    <w:multiLevelType w:val="hybridMultilevel"/>
    <w:tmpl w:val="92A89FC6"/>
    <w:lvl w:ilvl="0" w:tplc="D60C3BDC">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96505E"/>
    <w:multiLevelType w:val="hybridMultilevel"/>
    <w:tmpl w:val="E500D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997EC3"/>
    <w:multiLevelType w:val="hybridMultilevel"/>
    <w:tmpl w:val="C48236C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28E93D4F"/>
    <w:multiLevelType w:val="hybridMultilevel"/>
    <w:tmpl w:val="5F606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D6355"/>
    <w:multiLevelType w:val="hybridMultilevel"/>
    <w:tmpl w:val="E2685F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2DDC03EA"/>
    <w:multiLevelType w:val="hybridMultilevel"/>
    <w:tmpl w:val="6F4E8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540B23"/>
    <w:multiLevelType w:val="hybridMultilevel"/>
    <w:tmpl w:val="AB0C6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051C28"/>
    <w:multiLevelType w:val="hybridMultilevel"/>
    <w:tmpl w:val="B5368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4C0550"/>
    <w:multiLevelType w:val="hybridMultilevel"/>
    <w:tmpl w:val="A67430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D0556"/>
    <w:multiLevelType w:val="hybridMultilevel"/>
    <w:tmpl w:val="D974B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31029"/>
    <w:multiLevelType w:val="hybridMultilevel"/>
    <w:tmpl w:val="6484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B374A2D"/>
    <w:multiLevelType w:val="hybridMultilevel"/>
    <w:tmpl w:val="DC90142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4E0B4361"/>
    <w:multiLevelType w:val="hybridMultilevel"/>
    <w:tmpl w:val="F8F43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A918B4"/>
    <w:multiLevelType w:val="hybridMultilevel"/>
    <w:tmpl w:val="CAC0D8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517364BC"/>
    <w:multiLevelType w:val="hybridMultilevel"/>
    <w:tmpl w:val="A892937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52A96842"/>
    <w:multiLevelType w:val="hybridMultilevel"/>
    <w:tmpl w:val="D834002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52C337D4"/>
    <w:multiLevelType w:val="hybridMultilevel"/>
    <w:tmpl w:val="DF4292F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631738C1"/>
    <w:multiLevelType w:val="hybridMultilevel"/>
    <w:tmpl w:val="6F4E8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4A310AE"/>
    <w:multiLevelType w:val="hybridMultilevel"/>
    <w:tmpl w:val="15744E1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652629FD"/>
    <w:multiLevelType w:val="hybridMultilevel"/>
    <w:tmpl w:val="F0DCAD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5537730"/>
    <w:multiLevelType w:val="hybridMultilevel"/>
    <w:tmpl w:val="8B92DB9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6A994368"/>
    <w:multiLevelType w:val="hybridMultilevel"/>
    <w:tmpl w:val="762274B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79145E0"/>
    <w:multiLevelType w:val="hybridMultilevel"/>
    <w:tmpl w:val="D582769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15:restartNumberingAfterBreak="0">
    <w:nsid w:val="7B9F5C88"/>
    <w:multiLevelType w:val="hybridMultilevel"/>
    <w:tmpl w:val="AEEAB6C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7D23015D"/>
    <w:multiLevelType w:val="hybridMultilevel"/>
    <w:tmpl w:val="ED3EE63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3"/>
  </w:num>
  <w:num w:numId="2">
    <w:abstractNumId w:val="6"/>
  </w:num>
  <w:num w:numId="3">
    <w:abstractNumId w:val="18"/>
  </w:num>
  <w:num w:numId="4">
    <w:abstractNumId w:val="20"/>
  </w:num>
  <w:num w:numId="5">
    <w:abstractNumId w:val="26"/>
  </w:num>
  <w:num w:numId="6">
    <w:abstractNumId w:val="13"/>
  </w:num>
  <w:num w:numId="7">
    <w:abstractNumId w:val="15"/>
  </w:num>
  <w:num w:numId="8">
    <w:abstractNumId w:val="25"/>
  </w:num>
  <w:num w:numId="9">
    <w:abstractNumId w:val="24"/>
  </w:num>
  <w:num w:numId="10">
    <w:abstractNumId w:val="16"/>
  </w:num>
  <w:num w:numId="11">
    <w:abstractNumId w:val="1"/>
  </w:num>
  <w:num w:numId="12">
    <w:abstractNumId w:val="4"/>
  </w:num>
  <w:num w:numId="13">
    <w:abstractNumId w:val="22"/>
  </w:num>
  <w:num w:numId="14">
    <w:abstractNumId w:val="0"/>
  </w:num>
  <w:num w:numId="15">
    <w:abstractNumId w:val="17"/>
  </w:num>
  <w:num w:numId="16">
    <w:abstractNumId w:val="9"/>
  </w:num>
  <w:num w:numId="17">
    <w:abstractNumId w:val="12"/>
  </w:num>
  <w:num w:numId="18">
    <w:abstractNumId w:val="21"/>
  </w:num>
  <w:num w:numId="19">
    <w:abstractNumId w:val="3"/>
  </w:num>
  <w:num w:numId="20">
    <w:abstractNumId w:val="11"/>
  </w:num>
  <w:num w:numId="21">
    <w:abstractNumId w:val="10"/>
  </w:num>
  <w:num w:numId="22">
    <w:abstractNumId w:val="19"/>
  </w:num>
  <w:num w:numId="23">
    <w:abstractNumId w:val="7"/>
  </w:num>
  <w:num w:numId="24">
    <w:abstractNumId w:val="5"/>
  </w:num>
  <w:num w:numId="25">
    <w:abstractNumId w:val="8"/>
  </w:num>
  <w:num w:numId="26">
    <w:abstractNumId w:val="14"/>
  </w:num>
  <w:num w:numId="27">
    <w:abstractNumId w:val="14"/>
  </w:num>
  <w:num w:numId="28">
    <w:abstractNumId w:val="12"/>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75B70"/>
    <w:rsid w:val="00003C2F"/>
    <w:rsid w:val="00004A0D"/>
    <w:rsid w:val="00026DF5"/>
    <w:rsid w:val="000431C1"/>
    <w:rsid w:val="00051FEF"/>
    <w:rsid w:val="00053367"/>
    <w:rsid w:val="0006546D"/>
    <w:rsid w:val="00071596"/>
    <w:rsid w:val="00073A7D"/>
    <w:rsid w:val="00073F8A"/>
    <w:rsid w:val="0007781F"/>
    <w:rsid w:val="00087CD4"/>
    <w:rsid w:val="00092CC2"/>
    <w:rsid w:val="000A21C7"/>
    <w:rsid w:val="000A32F9"/>
    <w:rsid w:val="000B377A"/>
    <w:rsid w:val="000C7867"/>
    <w:rsid w:val="000D0F3D"/>
    <w:rsid w:val="000D20BB"/>
    <w:rsid w:val="000E28D1"/>
    <w:rsid w:val="000E4101"/>
    <w:rsid w:val="000F292C"/>
    <w:rsid w:val="000F6044"/>
    <w:rsid w:val="001001EC"/>
    <w:rsid w:val="001032C0"/>
    <w:rsid w:val="00103C1D"/>
    <w:rsid w:val="00106B80"/>
    <w:rsid w:val="0012006B"/>
    <w:rsid w:val="00134BF7"/>
    <w:rsid w:val="00136B77"/>
    <w:rsid w:val="001409A0"/>
    <w:rsid w:val="0014250F"/>
    <w:rsid w:val="001426AF"/>
    <w:rsid w:val="0015488E"/>
    <w:rsid w:val="0016163C"/>
    <w:rsid w:val="00161977"/>
    <w:rsid w:val="00167E35"/>
    <w:rsid w:val="00173514"/>
    <w:rsid w:val="001763D8"/>
    <w:rsid w:val="00176DE0"/>
    <w:rsid w:val="0017750D"/>
    <w:rsid w:val="0018201B"/>
    <w:rsid w:val="00183674"/>
    <w:rsid w:val="001917FF"/>
    <w:rsid w:val="0019651B"/>
    <w:rsid w:val="001A29AC"/>
    <w:rsid w:val="001A5925"/>
    <w:rsid w:val="001A5EF6"/>
    <w:rsid w:val="001D08F3"/>
    <w:rsid w:val="001D312E"/>
    <w:rsid w:val="001D5217"/>
    <w:rsid w:val="001E23F4"/>
    <w:rsid w:val="00216E1C"/>
    <w:rsid w:val="002239F5"/>
    <w:rsid w:val="0023567F"/>
    <w:rsid w:val="002543D2"/>
    <w:rsid w:val="00254779"/>
    <w:rsid w:val="00260E0C"/>
    <w:rsid w:val="00264452"/>
    <w:rsid w:val="002741D9"/>
    <w:rsid w:val="002762F1"/>
    <w:rsid w:val="0028500E"/>
    <w:rsid w:val="00296B24"/>
    <w:rsid w:val="002A304E"/>
    <w:rsid w:val="002A5C0B"/>
    <w:rsid w:val="002B51DC"/>
    <w:rsid w:val="002B63D8"/>
    <w:rsid w:val="002C2CC3"/>
    <w:rsid w:val="002D2656"/>
    <w:rsid w:val="002D2B73"/>
    <w:rsid w:val="002D2C14"/>
    <w:rsid w:val="002D309A"/>
    <w:rsid w:val="002D3155"/>
    <w:rsid w:val="002D3DEF"/>
    <w:rsid w:val="002E2434"/>
    <w:rsid w:val="002E7190"/>
    <w:rsid w:val="002F1222"/>
    <w:rsid w:val="002F779C"/>
    <w:rsid w:val="00302AB8"/>
    <w:rsid w:val="00302EDD"/>
    <w:rsid w:val="00310E05"/>
    <w:rsid w:val="00324005"/>
    <w:rsid w:val="00330049"/>
    <w:rsid w:val="003304A7"/>
    <w:rsid w:val="00331362"/>
    <w:rsid w:val="00341CA6"/>
    <w:rsid w:val="00342797"/>
    <w:rsid w:val="00343DA3"/>
    <w:rsid w:val="003513FF"/>
    <w:rsid w:val="0035622E"/>
    <w:rsid w:val="003711E1"/>
    <w:rsid w:val="00395D17"/>
    <w:rsid w:val="00397C3F"/>
    <w:rsid w:val="003A24BF"/>
    <w:rsid w:val="003B3BC1"/>
    <w:rsid w:val="003B4347"/>
    <w:rsid w:val="003B5F85"/>
    <w:rsid w:val="003B6381"/>
    <w:rsid w:val="003D34D2"/>
    <w:rsid w:val="003D42C0"/>
    <w:rsid w:val="003D5C31"/>
    <w:rsid w:val="003D7107"/>
    <w:rsid w:val="003E2564"/>
    <w:rsid w:val="003F4E3B"/>
    <w:rsid w:val="00410266"/>
    <w:rsid w:val="00413F14"/>
    <w:rsid w:val="00420DBC"/>
    <w:rsid w:val="004224CB"/>
    <w:rsid w:val="00430A27"/>
    <w:rsid w:val="00431161"/>
    <w:rsid w:val="00436D70"/>
    <w:rsid w:val="00436E93"/>
    <w:rsid w:val="00450D05"/>
    <w:rsid w:val="00454C4A"/>
    <w:rsid w:val="00465D6F"/>
    <w:rsid w:val="00466E24"/>
    <w:rsid w:val="00467DFF"/>
    <w:rsid w:val="00471AE2"/>
    <w:rsid w:val="00476BE9"/>
    <w:rsid w:val="004843AA"/>
    <w:rsid w:val="00484C84"/>
    <w:rsid w:val="004855AC"/>
    <w:rsid w:val="00491389"/>
    <w:rsid w:val="00491BFC"/>
    <w:rsid w:val="00493AC2"/>
    <w:rsid w:val="004B363B"/>
    <w:rsid w:val="004B74A3"/>
    <w:rsid w:val="004C55B7"/>
    <w:rsid w:val="004C561D"/>
    <w:rsid w:val="004D1E4A"/>
    <w:rsid w:val="004D430A"/>
    <w:rsid w:val="004E21BB"/>
    <w:rsid w:val="004E5265"/>
    <w:rsid w:val="004F655D"/>
    <w:rsid w:val="00500488"/>
    <w:rsid w:val="00513F21"/>
    <w:rsid w:val="00527390"/>
    <w:rsid w:val="0052783D"/>
    <w:rsid w:val="005320BF"/>
    <w:rsid w:val="00532543"/>
    <w:rsid w:val="005347B1"/>
    <w:rsid w:val="005414F9"/>
    <w:rsid w:val="0055005B"/>
    <w:rsid w:val="00565905"/>
    <w:rsid w:val="0057245A"/>
    <w:rsid w:val="00573C07"/>
    <w:rsid w:val="0058379C"/>
    <w:rsid w:val="00584538"/>
    <w:rsid w:val="005A1864"/>
    <w:rsid w:val="005A2AC2"/>
    <w:rsid w:val="005B4287"/>
    <w:rsid w:val="005B4ACB"/>
    <w:rsid w:val="005B52DD"/>
    <w:rsid w:val="005B5C2B"/>
    <w:rsid w:val="005C0491"/>
    <w:rsid w:val="005C17A6"/>
    <w:rsid w:val="005C670E"/>
    <w:rsid w:val="005D40DC"/>
    <w:rsid w:val="005F02CB"/>
    <w:rsid w:val="005F19BD"/>
    <w:rsid w:val="005F2C22"/>
    <w:rsid w:val="005F7BB9"/>
    <w:rsid w:val="0060037C"/>
    <w:rsid w:val="0060572B"/>
    <w:rsid w:val="006058C2"/>
    <w:rsid w:val="00614B11"/>
    <w:rsid w:val="00624CF0"/>
    <w:rsid w:val="00641150"/>
    <w:rsid w:val="0065483E"/>
    <w:rsid w:val="00660FC4"/>
    <w:rsid w:val="00663138"/>
    <w:rsid w:val="00665EB7"/>
    <w:rsid w:val="0067085E"/>
    <w:rsid w:val="00672D91"/>
    <w:rsid w:val="0067317F"/>
    <w:rsid w:val="00675B70"/>
    <w:rsid w:val="00680ACB"/>
    <w:rsid w:val="00681799"/>
    <w:rsid w:val="006A5775"/>
    <w:rsid w:val="006B23E0"/>
    <w:rsid w:val="006C1E83"/>
    <w:rsid w:val="006D2B15"/>
    <w:rsid w:val="006E33FC"/>
    <w:rsid w:val="006E4359"/>
    <w:rsid w:val="006F589E"/>
    <w:rsid w:val="00704EBC"/>
    <w:rsid w:val="00706CB9"/>
    <w:rsid w:val="007242DD"/>
    <w:rsid w:val="007327CB"/>
    <w:rsid w:val="00732E20"/>
    <w:rsid w:val="00736D5E"/>
    <w:rsid w:val="00740232"/>
    <w:rsid w:val="00741220"/>
    <w:rsid w:val="00752A06"/>
    <w:rsid w:val="007604AF"/>
    <w:rsid w:val="00760E2A"/>
    <w:rsid w:val="0076315E"/>
    <w:rsid w:val="00766337"/>
    <w:rsid w:val="00766A0C"/>
    <w:rsid w:val="007868DA"/>
    <w:rsid w:val="0079252F"/>
    <w:rsid w:val="0079638B"/>
    <w:rsid w:val="007A04F4"/>
    <w:rsid w:val="007A1003"/>
    <w:rsid w:val="007A5D7F"/>
    <w:rsid w:val="007B0F7D"/>
    <w:rsid w:val="007B2A99"/>
    <w:rsid w:val="007B442C"/>
    <w:rsid w:val="007B5229"/>
    <w:rsid w:val="007B7BD2"/>
    <w:rsid w:val="007C15CA"/>
    <w:rsid w:val="007C27D3"/>
    <w:rsid w:val="007E59F2"/>
    <w:rsid w:val="007E65A4"/>
    <w:rsid w:val="007F131C"/>
    <w:rsid w:val="007F1620"/>
    <w:rsid w:val="007F3637"/>
    <w:rsid w:val="00800CA0"/>
    <w:rsid w:val="00803C3C"/>
    <w:rsid w:val="00805AEB"/>
    <w:rsid w:val="00810D12"/>
    <w:rsid w:val="00812960"/>
    <w:rsid w:val="00814FD0"/>
    <w:rsid w:val="00822C73"/>
    <w:rsid w:val="008236BD"/>
    <w:rsid w:val="00827FBD"/>
    <w:rsid w:val="0083248C"/>
    <w:rsid w:val="008512A3"/>
    <w:rsid w:val="00861D36"/>
    <w:rsid w:val="008632B8"/>
    <w:rsid w:val="008716BA"/>
    <w:rsid w:val="00881463"/>
    <w:rsid w:val="00882639"/>
    <w:rsid w:val="0088280A"/>
    <w:rsid w:val="00882BFF"/>
    <w:rsid w:val="008961EB"/>
    <w:rsid w:val="008A3937"/>
    <w:rsid w:val="008B0CF5"/>
    <w:rsid w:val="008B1EEA"/>
    <w:rsid w:val="008B21E0"/>
    <w:rsid w:val="008D247A"/>
    <w:rsid w:val="008D2A6A"/>
    <w:rsid w:val="008D3837"/>
    <w:rsid w:val="008D5564"/>
    <w:rsid w:val="008D6A80"/>
    <w:rsid w:val="00900816"/>
    <w:rsid w:val="00906B60"/>
    <w:rsid w:val="009131E0"/>
    <w:rsid w:val="009149BE"/>
    <w:rsid w:val="009215E0"/>
    <w:rsid w:val="009277BB"/>
    <w:rsid w:val="00927959"/>
    <w:rsid w:val="009303FC"/>
    <w:rsid w:val="00937919"/>
    <w:rsid w:val="00946902"/>
    <w:rsid w:val="00954692"/>
    <w:rsid w:val="00964A5C"/>
    <w:rsid w:val="009737E8"/>
    <w:rsid w:val="009751C8"/>
    <w:rsid w:val="00983C57"/>
    <w:rsid w:val="00983EED"/>
    <w:rsid w:val="00984F83"/>
    <w:rsid w:val="00987E87"/>
    <w:rsid w:val="00993F84"/>
    <w:rsid w:val="00996AE4"/>
    <w:rsid w:val="009A0122"/>
    <w:rsid w:val="009A18F6"/>
    <w:rsid w:val="009A68F0"/>
    <w:rsid w:val="009B2C15"/>
    <w:rsid w:val="009C1DC4"/>
    <w:rsid w:val="009C3C7D"/>
    <w:rsid w:val="009D1F1D"/>
    <w:rsid w:val="009D2B5D"/>
    <w:rsid w:val="009E55F0"/>
    <w:rsid w:val="009F0C16"/>
    <w:rsid w:val="009F4581"/>
    <w:rsid w:val="009F775A"/>
    <w:rsid w:val="00A058D7"/>
    <w:rsid w:val="00A07E6B"/>
    <w:rsid w:val="00A10C64"/>
    <w:rsid w:val="00A122CB"/>
    <w:rsid w:val="00A13A1F"/>
    <w:rsid w:val="00A1426F"/>
    <w:rsid w:val="00A25AAF"/>
    <w:rsid w:val="00A34DDC"/>
    <w:rsid w:val="00A52937"/>
    <w:rsid w:val="00A616E4"/>
    <w:rsid w:val="00A617DB"/>
    <w:rsid w:val="00A62B6D"/>
    <w:rsid w:val="00A64397"/>
    <w:rsid w:val="00A77E4D"/>
    <w:rsid w:val="00A839AF"/>
    <w:rsid w:val="00A845C7"/>
    <w:rsid w:val="00A90683"/>
    <w:rsid w:val="00A92FB0"/>
    <w:rsid w:val="00AA33CE"/>
    <w:rsid w:val="00AA361F"/>
    <w:rsid w:val="00AA3DF3"/>
    <w:rsid w:val="00AB4A2D"/>
    <w:rsid w:val="00AC0EC4"/>
    <w:rsid w:val="00AC2D70"/>
    <w:rsid w:val="00AC2E0E"/>
    <w:rsid w:val="00AD17A6"/>
    <w:rsid w:val="00AD5B44"/>
    <w:rsid w:val="00AE1A95"/>
    <w:rsid w:val="00AE3D2B"/>
    <w:rsid w:val="00AF1690"/>
    <w:rsid w:val="00AF1769"/>
    <w:rsid w:val="00AF6831"/>
    <w:rsid w:val="00B04437"/>
    <w:rsid w:val="00B05707"/>
    <w:rsid w:val="00B226EC"/>
    <w:rsid w:val="00B229A2"/>
    <w:rsid w:val="00B2649C"/>
    <w:rsid w:val="00B26723"/>
    <w:rsid w:val="00B30776"/>
    <w:rsid w:val="00B379D4"/>
    <w:rsid w:val="00B55637"/>
    <w:rsid w:val="00B5651C"/>
    <w:rsid w:val="00B708D2"/>
    <w:rsid w:val="00B7155C"/>
    <w:rsid w:val="00B74284"/>
    <w:rsid w:val="00B760E6"/>
    <w:rsid w:val="00B8357E"/>
    <w:rsid w:val="00B96A67"/>
    <w:rsid w:val="00BA135D"/>
    <w:rsid w:val="00BB0DBE"/>
    <w:rsid w:val="00BB25AB"/>
    <w:rsid w:val="00BC09C3"/>
    <w:rsid w:val="00BD5295"/>
    <w:rsid w:val="00BE004F"/>
    <w:rsid w:val="00BF08FE"/>
    <w:rsid w:val="00BF70DA"/>
    <w:rsid w:val="00C02A6C"/>
    <w:rsid w:val="00C1096F"/>
    <w:rsid w:val="00C121A5"/>
    <w:rsid w:val="00C304D7"/>
    <w:rsid w:val="00C31368"/>
    <w:rsid w:val="00C33C15"/>
    <w:rsid w:val="00C36BDA"/>
    <w:rsid w:val="00C4095A"/>
    <w:rsid w:val="00C44B44"/>
    <w:rsid w:val="00C47FE3"/>
    <w:rsid w:val="00C52642"/>
    <w:rsid w:val="00C6673C"/>
    <w:rsid w:val="00C76B68"/>
    <w:rsid w:val="00C76D07"/>
    <w:rsid w:val="00C918C5"/>
    <w:rsid w:val="00CA0FFE"/>
    <w:rsid w:val="00CA7F67"/>
    <w:rsid w:val="00CB6EE8"/>
    <w:rsid w:val="00CC619A"/>
    <w:rsid w:val="00CD755B"/>
    <w:rsid w:val="00D040DB"/>
    <w:rsid w:val="00D04132"/>
    <w:rsid w:val="00D10A0F"/>
    <w:rsid w:val="00D1351E"/>
    <w:rsid w:val="00D23DE6"/>
    <w:rsid w:val="00D31DBA"/>
    <w:rsid w:val="00D53530"/>
    <w:rsid w:val="00D73279"/>
    <w:rsid w:val="00D73F6B"/>
    <w:rsid w:val="00D75F24"/>
    <w:rsid w:val="00D8023A"/>
    <w:rsid w:val="00D80A83"/>
    <w:rsid w:val="00D9605E"/>
    <w:rsid w:val="00DA3F07"/>
    <w:rsid w:val="00DA4C6D"/>
    <w:rsid w:val="00DB7ED6"/>
    <w:rsid w:val="00DC7E35"/>
    <w:rsid w:val="00DD614B"/>
    <w:rsid w:val="00DE10A3"/>
    <w:rsid w:val="00DE7D3E"/>
    <w:rsid w:val="00DF4005"/>
    <w:rsid w:val="00E05060"/>
    <w:rsid w:val="00E07322"/>
    <w:rsid w:val="00E117CD"/>
    <w:rsid w:val="00E1284E"/>
    <w:rsid w:val="00E16CA7"/>
    <w:rsid w:val="00E26313"/>
    <w:rsid w:val="00E353CC"/>
    <w:rsid w:val="00E40F4C"/>
    <w:rsid w:val="00E57AA7"/>
    <w:rsid w:val="00E6510F"/>
    <w:rsid w:val="00E6546F"/>
    <w:rsid w:val="00E73E3E"/>
    <w:rsid w:val="00E856D2"/>
    <w:rsid w:val="00E86C0E"/>
    <w:rsid w:val="00E874F0"/>
    <w:rsid w:val="00E94F10"/>
    <w:rsid w:val="00E9616D"/>
    <w:rsid w:val="00EA46B3"/>
    <w:rsid w:val="00EA7A1C"/>
    <w:rsid w:val="00EB6C07"/>
    <w:rsid w:val="00EC780D"/>
    <w:rsid w:val="00ED19BD"/>
    <w:rsid w:val="00ED5303"/>
    <w:rsid w:val="00EE2A21"/>
    <w:rsid w:val="00EE34D8"/>
    <w:rsid w:val="00EE361B"/>
    <w:rsid w:val="00EF1DD5"/>
    <w:rsid w:val="00F02AB6"/>
    <w:rsid w:val="00F0352E"/>
    <w:rsid w:val="00F04720"/>
    <w:rsid w:val="00F04B5F"/>
    <w:rsid w:val="00F1158F"/>
    <w:rsid w:val="00F12DA4"/>
    <w:rsid w:val="00F13985"/>
    <w:rsid w:val="00F21F9F"/>
    <w:rsid w:val="00F25768"/>
    <w:rsid w:val="00F34CBE"/>
    <w:rsid w:val="00F36C27"/>
    <w:rsid w:val="00F40786"/>
    <w:rsid w:val="00F4557F"/>
    <w:rsid w:val="00F558B2"/>
    <w:rsid w:val="00F5727F"/>
    <w:rsid w:val="00F64761"/>
    <w:rsid w:val="00F66BAF"/>
    <w:rsid w:val="00F76CAB"/>
    <w:rsid w:val="00F85F4B"/>
    <w:rsid w:val="00F85F79"/>
    <w:rsid w:val="00F868C5"/>
    <w:rsid w:val="00FA03CC"/>
    <w:rsid w:val="00FA6315"/>
    <w:rsid w:val="00FA6481"/>
    <w:rsid w:val="00FB0AF7"/>
    <w:rsid w:val="00FB143B"/>
    <w:rsid w:val="00FB7AF4"/>
    <w:rsid w:val="00FC0EA9"/>
    <w:rsid w:val="00FD679C"/>
    <w:rsid w:val="00FD774B"/>
    <w:rsid w:val="00FE47FE"/>
    <w:rsid w:val="00FF58C2"/>
    <w:rsid w:val="00FF7D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3B2877E"/>
  <w15:docId w15:val="{7D6961D8-F48E-45DD-8F1D-01BF24A7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iPriority="0" w:unhideWhenUsed="1"/>
    <w:lsdException w:name="header" w:locked="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491"/>
    <w:pPr>
      <w:jc w:val="both"/>
    </w:pPr>
    <w:rPr>
      <w:rFonts w:ascii="Times New Roman" w:eastAsia="Times New Roman" w:hAnsi="Times New Roman"/>
      <w:sz w:val="24"/>
      <w:szCs w:val="24"/>
      <w:lang w:val="en-GB"/>
    </w:rPr>
  </w:style>
  <w:style w:type="paragraph" w:styleId="Heading1">
    <w:name w:val="heading 1"/>
    <w:basedOn w:val="Normal"/>
    <w:next w:val="Normal"/>
    <w:link w:val="Heading1Char"/>
    <w:autoRedefine/>
    <w:qFormat/>
    <w:locked/>
    <w:rsid w:val="00A616E4"/>
    <w:pPr>
      <w:widowControl w:val="0"/>
      <w:pBdr>
        <w:top w:val="single" w:sz="4" w:space="1" w:color="auto"/>
        <w:left w:val="single" w:sz="4" w:space="4" w:color="auto"/>
        <w:bottom w:val="single" w:sz="4" w:space="1" w:color="auto"/>
        <w:right w:val="single" w:sz="4" w:space="4" w:color="auto"/>
      </w:pBdr>
      <w:shd w:val="pct10" w:color="C6D9F1" w:themeColor="text2" w:themeTint="33" w:fill="C6D9F1" w:themeFill="text2" w:themeFillTint="33"/>
      <w:autoSpaceDE w:val="0"/>
      <w:autoSpaceDN w:val="0"/>
      <w:adjustRightInd w:val="0"/>
      <w:spacing w:before="300" w:after="40"/>
      <w:outlineLvl w:val="0"/>
    </w:pPr>
    <w:rPr>
      <w:b/>
      <w:caps/>
      <w:spacing w:val="5"/>
      <w:sz w:val="21"/>
      <w:szCs w:val="21"/>
    </w:rPr>
  </w:style>
  <w:style w:type="paragraph" w:styleId="Heading2">
    <w:name w:val="heading 2"/>
    <w:basedOn w:val="Normal"/>
    <w:next w:val="Normal"/>
    <w:link w:val="Heading2Char"/>
    <w:unhideWhenUsed/>
    <w:qFormat/>
    <w:locked/>
    <w:rsid w:val="008512A3"/>
    <w:pPr>
      <w:keepNext/>
      <w:keepLines/>
      <w:jc w:val="center"/>
      <w:outlineLvl w:val="1"/>
    </w:pPr>
    <w:rPr>
      <w:rFonts w:eastAsiaTheme="majorEastAsia" w:cstheme="majorBidi"/>
      <w:b/>
      <w:bCs/>
      <w:szCs w:val="26"/>
    </w:rPr>
  </w:style>
  <w:style w:type="paragraph" w:styleId="Heading3">
    <w:name w:val="heading 3"/>
    <w:basedOn w:val="Normal"/>
    <w:next w:val="Normal"/>
    <w:link w:val="Heading3Char"/>
    <w:unhideWhenUsed/>
    <w:qFormat/>
    <w:locked/>
    <w:rsid w:val="008512A3"/>
    <w:pPr>
      <w:widowControl w:val="0"/>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B70"/>
    <w:pPr>
      <w:tabs>
        <w:tab w:val="center" w:pos="4320"/>
        <w:tab w:val="right" w:pos="8640"/>
      </w:tabs>
    </w:pPr>
  </w:style>
  <w:style w:type="character" w:customStyle="1" w:styleId="HeaderChar">
    <w:name w:val="Header Char"/>
    <w:basedOn w:val="DefaultParagraphFont"/>
    <w:link w:val="Header"/>
    <w:uiPriority w:val="99"/>
    <w:locked/>
    <w:rsid w:val="00675B70"/>
    <w:rPr>
      <w:rFonts w:ascii="Times New Roman" w:hAnsi="Times New Roman" w:cs="Times New Roman"/>
      <w:sz w:val="24"/>
      <w:szCs w:val="24"/>
      <w:lang w:val="en-GB"/>
    </w:rPr>
  </w:style>
  <w:style w:type="paragraph" w:styleId="Footer">
    <w:name w:val="footer"/>
    <w:basedOn w:val="Normal"/>
    <w:link w:val="FooterChar"/>
    <w:uiPriority w:val="99"/>
    <w:rsid w:val="00675B70"/>
    <w:pPr>
      <w:tabs>
        <w:tab w:val="center" w:pos="4320"/>
        <w:tab w:val="right" w:pos="8640"/>
      </w:tabs>
    </w:pPr>
  </w:style>
  <w:style w:type="character" w:customStyle="1" w:styleId="FooterChar">
    <w:name w:val="Footer Char"/>
    <w:basedOn w:val="DefaultParagraphFont"/>
    <w:link w:val="Footer"/>
    <w:uiPriority w:val="99"/>
    <w:locked/>
    <w:rsid w:val="00675B70"/>
    <w:rPr>
      <w:rFonts w:ascii="Times New Roman" w:hAnsi="Times New Roman" w:cs="Times New Roman"/>
      <w:sz w:val="24"/>
      <w:szCs w:val="24"/>
      <w:lang w:val="en-GB"/>
    </w:rPr>
  </w:style>
  <w:style w:type="table" w:styleId="TableGrid">
    <w:name w:val="Table Grid"/>
    <w:basedOn w:val="TableNormal"/>
    <w:uiPriority w:val="99"/>
    <w:rsid w:val="00675B7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75B70"/>
  </w:style>
  <w:style w:type="paragraph" w:styleId="BalloonText">
    <w:name w:val="Balloon Text"/>
    <w:basedOn w:val="Normal"/>
    <w:link w:val="BalloonTextChar"/>
    <w:uiPriority w:val="99"/>
    <w:semiHidden/>
    <w:rsid w:val="00675B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B70"/>
    <w:rPr>
      <w:rFonts w:ascii="Tahoma" w:hAnsi="Tahoma" w:cs="Tahoma"/>
      <w:sz w:val="16"/>
      <w:szCs w:val="16"/>
      <w:lang w:val="en-GB"/>
    </w:rPr>
  </w:style>
  <w:style w:type="paragraph" w:styleId="ListParagraph">
    <w:name w:val="List Paragraph"/>
    <w:basedOn w:val="Normal"/>
    <w:uiPriority w:val="34"/>
    <w:qFormat/>
    <w:rsid w:val="00675B70"/>
    <w:pPr>
      <w:ind w:left="720"/>
    </w:pPr>
  </w:style>
  <w:style w:type="character" w:styleId="CommentReference">
    <w:name w:val="annotation reference"/>
    <w:basedOn w:val="DefaultParagraphFont"/>
    <w:semiHidden/>
    <w:rsid w:val="003B3BC1"/>
    <w:rPr>
      <w:sz w:val="16"/>
      <w:szCs w:val="16"/>
    </w:rPr>
  </w:style>
  <w:style w:type="paragraph" w:styleId="CommentText">
    <w:name w:val="annotation text"/>
    <w:basedOn w:val="Normal"/>
    <w:link w:val="CommentTextChar"/>
    <w:rsid w:val="003B3BC1"/>
    <w:rPr>
      <w:sz w:val="20"/>
      <w:szCs w:val="20"/>
    </w:rPr>
  </w:style>
  <w:style w:type="character" w:customStyle="1" w:styleId="CommentTextChar">
    <w:name w:val="Comment Text Char"/>
    <w:basedOn w:val="DefaultParagraphFont"/>
    <w:link w:val="CommentText"/>
    <w:rsid w:val="00D910D0"/>
    <w:rPr>
      <w:rFonts w:ascii="Times New Roman" w:eastAsia="Times New Roman" w:hAnsi="Times New Roman"/>
      <w:sz w:val="20"/>
      <w:szCs w:val="20"/>
      <w:lang w:val="en-GB"/>
    </w:rPr>
  </w:style>
  <w:style w:type="paragraph" w:styleId="CommentSubject">
    <w:name w:val="annotation subject"/>
    <w:basedOn w:val="CommentText"/>
    <w:next w:val="CommentText"/>
    <w:link w:val="CommentSubjectChar"/>
    <w:uiPriority w:val="99"/>
    <w:semiHidden/>
    <w:rsid w:val="003B3BC1"/>
    <w:rPr>
      <w:b/>
      <w:bCs/>
    </w:rPr>
  </w:style>
  <w:style w:type="character" w:customStyle="1" w:styleId="CommentSubjectChar">
    <w:name w:val="Comment Subject Char"/>
    <w:basedOn w:val="CommentTextChar"/>
    <w:link w:val="CommentSubject"/>
    <w:uiPriority w:val="99"/>
    <w:semiHidden/>
    <w:rsid w:val="00D910D0"/>
    <w:rPr>
      <w:rFonts w:ascii="Times New Roman" w:eastAsia="Times New Roman" w:hAnsi="Times New Roman"/>
      <w:b/>
      <w:bCs/>
      <w:sz w:val="20"/>
      <w:szCs w:val="20"/>
      <w:lang w:val="en-GB"/>
    </w:rPr>
  </w:style>
  <w:style w:type="paragraph" w:customStyle="1" w:styleId="Default">
    <w:name w:val="Default"/>
    <w:uiPriority w:val="99"/>
    <w:rsid w:val="00436E93"/>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C121A5"/>
    <w:rPr>
      <w:color w:val="0000FF" w:themeColor="hyperlink"/>
      <w:u w:val="single"/>
    </w:rPr>
  </w:style>
  <w:style w:type="paragraph" w:styleId="DocumentMap">
    <w:name w:val="Document Map"/>
    <w:basedOn w:val="Normal"/>
    <w:link w:val="DocumentMapChar"/>
    <w:uiPriority w:val="99"/>
    <w:semiHidden/>
    <w:unhideWhenUsed/>
    <w:rsid w:val="005F02CB"/>
    <w:rPr>
      <w:rFonts w:ascii="Lucida Grande" w:hAnsi="Lucida Grande" w:cs="Lucida Grande"/>
    </w:rPr>
  </w:style>
  <w:style w:type="character" w:customStyle="1" w:styleId="DocumentMapChar">
    <w:name w:val="Document Map Char"/>
    <w:basedOn w:val="DefaultParagraphFont"/>
    <w:link w:val="DocumentMap"/>
    <w:uiPriority w:val="99"/>
    <w:semiHidden/>
    <w:rsid w:val="005F02CB"/>
    <w:rPr>
      <w:rFonts w:ascii="Lucida Grande" w:eastAsia="Times New Roman" w:hAnsi="Lucida Grande" w:cs="Lucida Grande"/>
      <w:sz w:val="24"/>
      <w:szCs w:val="24"/>
      <w:lang w:val="en-GB"/>
    </w:rPr>
  </w:style>
  <w:style w:type="paragraph" w:styleId="FootnoteText">
    <w:name w:val="footnote text"/>
    <w:aliases w:val="Char3,Carattere Carattere, Char, Carattere Carattere,FOOTNOTES,fn,single space,footnote text, Car Car Car Car, Car Car Car,Car Car Car Car,Car Car Car,Char"/>
    <w:basedOn w:val="Normal"/>
    <w:link w:val="FootnoteTextChar"/>
    <w:rsid w:val="005F02CB"/>
    <w:rPr>
      <w:sz w:val="20"/>
      <w:szCs w:val="20"/>
      <w:lang w:val="en-US"/>
    </w:rPr>
  </w:style>
  <w:style w:type="character" w:customStyle="1" w:styleId="FootnoteTextChar">
    <w:name w:val="Footnote Text Char"/>
    <w:aliases w:val="Char3 Char,Carattere Carattere Char, Char Char, Carattere Carattere Char,FOOTNOTES Char,fn Char,single space Char,footnote text Char, Car Car Car Car Char, Car Car Car Char,Car Car Car Car Char,Car Car Car Char,Char Char"/>
    <w:basedOn w:val="DefaultParagraphFont"/>
    <w:link w:val="FootnoteText"/>
    <w:uiPriority w:val="99"/>
    <w:rsid w:val="005F02CB"/>
    <w:rPr>
      <w:rFonts w:ascii="Times New Roman" w:eastAsia="Times New Roman" w:hAnsi="Times New Roman"/>
      <w:sz w:val="20"/>
      <w:szCs w:val="20"/>
    </w:rPr>
  </w:style>
  <w:style w:type="character" w:styleId="FootnoteReference">
    <w:name w:val="footnote reference"/>
    <w:aliases w:val="List Bullet,BVI fnr, BVI fnr,Car Car Car Car Car Car Char Char Car Car,note bp,Liste à puces1,Liste à puces11,Liste à puces111,Liste à puces1111,List Bullet1,List Bullet11"/>
    <w:rsid w:val="005F02CB"/>
    <w:rPr>
      <w:vertAlign w:val="superscript"/>
    </w:rPr>
  </w:style>
  <w:style w:type="paragraph" w:styleId="NoSpacing">
    <w:name w:val="No Spacing"/>
    <w:uiPriority w:val="1"/>
    <w:qFormat/>
    <w:rsid w:val="00341CA6"/>
    <w:rPr>
      <w:rFonts w:asciiTheme="minorHAnsi" w:eastAsiaTheme="minorHAnsi" w:hAnsiTheme="minorHAnsi" w:cstheme="minorBidi"/>
    </w:rPr>
  </w:style>
  <w:style w:type="paragraph" w:customStyle="1" w:styleId="Body">
    <w:name w:val="Body"/>
    <w:rsid w:val="00341CA6"/>
    <w:pPr>
      <w:pBdr>
        <w:top w:val="nil"/>
        <w:left w:val="nil"/>
        <w:bottom w:val="nil"/>
        <w:right w:val="nil"/>
        <w:between w:val="nil"/>
        <w:bar w:val="nil"/>
      </w:pBdr>
      <w:suppressAutoHyphens/>
    </w:pPr>
    <w:rPr>
      <w:rFonts w:ascii="Times New Roman" w:eastAsia="Arial Unicode MS" w:hAnsi="Arial Unicode MS" w:cs="Arial Unicode MS"/>
      <w:color w:val="000000"/>
      <w:sz w:val="24"/>
      <w:szCs w:val="24"/>
      <w:u w:color="000000"/>
      <w:bdr w:val="nil"/>
    </w:rPr>
  </w:style>
  <w:style w:type="paragraph" w:customStyle="1" w:styleId="Style1">
    <w:name w:val="Style1"/>
    <w:basedOn w:val="Normal"/>
    <w:qFormat/>
    <w:rsid w:val="008512A3"/>
    <w:pPr>
      <w:jc w:val="center"/>
    </w:pPr>
    <w:rPr>
      <w:b/>
      <w:bCs/>
      <w:color w:val="000000"/>
    </w:rPr>
  </w:style>
  <w:style w:type="character" w:customStyle="1" w:styleId="Heading2Char">
    <w:name w:val="Heading 2 Char"/>
    <w:basedOn w:val="DefaultParagraphFont"/>
    <w:link w:val="Heading2"/>
    <w:rsid w:val="008512A3"/>
    <w:rPr>
      <w:rFonts w:ascii="Times New Roman" w:eastAsiaTheme="majorEastAsia" w:hAnsi="Times New Roman" w:cstheme="majorBidi"/>
      <w:b/>
      <w:bCs/>
      <w:sz w:val="24"/>
      <w:szCs w:val="26"/>
      <w:lang w:val="en-GB"/>
    </w:rPr>
  </w:style>
  <w:style w:type="paragraph" w:styleId="Revision">
    <w:name w:val="Revision"/>
    <w:hidden/>
    <w:uiPriority w:val="99"/>
    <w:semiHidden/>
    <w:rsid w:val="008512A3"/>
    <w:rPr>
      <w:rFonts w:ascii="Times New Roman" w:eastAsia="Times New Roman" w:hAnsi="Times New Roman"/>
      <w:sz w:val="24"/>
      <w:szCs w:val="24"/>
      <w:lang w:val="en-GB"/>
    </w:rPr>
  </w:style>
  <w:style w:type="character" w:customStyle="1" w:styleId="Heading3Char">
    <w:name w:val="Heading 3 Char"/>
    <w:basedOn w:val="DefaultParagraphFont"/>
    <w:link w:val="Heading3"/>
    <w:rsid w:val="008512A3"/>
    <w:rPr>
      <w:rFonts w:ascii="Times New Roman" w:eastAsia="Times New Roman" w:hAnsi="Times New Roman"/>
      <w:b/>
      <w:bCs/>
      <w:color w:val="000000"/>
      <w:sz w:val="24"/>
      <w:szCs w:val="24"/>
      <w:lang w:val="en-GB"/>
    </w:rPr>
  </w:style>
  <w:style w:type="character" w:customStyle="1" w:styleId="UnresolvedMention1">
    <w:name w:val="Unresolved Mention1"/>
    <w:basedOn w:val="DefaultParagraphFont"/>
    <w:uiPriority w:val="99"/>
    <w:semiHidden/>
    <w:unhideWhenUsed/>
    <w:rsid w:val="005A1864"/>
    <w:rPr>
      <w:color w:val="808080"/>
      <w:shd w:val="clear" w:color="auto" w:fill="E6E6E6"/>
    </w:rPr>
  </w:style>
  <w:style w:type="paragraph" w:customStyle="1" w:styleId="HeadingIRreports">
    <w:name w:val="Heading IR reports"/>
    <w:basedOn w:val="Normal"/>
    <w:qFormat/>
    <w:rsid w:val="00CD755B"/>
    <w:pPr>
      <w:ind w:left="120"/>
      <w:outlineLvl w:val="0"/>
    </w:pPr>
    <w:rPr>
      <w:b/>
      <w:bCs/>
      <w:u w:val="single"/>
    </w:rPr>
  </w:style>
  <w:style w:type="paragraph" w:customStyle="1" w:styleId="MediumGrid1-Accent21">
    <w:name w:val="Medium Grid 1 - Accent 21"/>
    <w:basedOn w:val="Normal"/>
    <w:uiPriority w:val="34"/>
    <w:qFormat/>
    <w:rsid w:val="00CD755B"/>
    <w:pPr>
      <w:spacing w:after="200" w:line="276" w:lineRule="auto"/>
      <w:ind w:left="720"/>
      <w:contextualSpacing/>
      <w:jc w:val="left"/>
    </w:pPr>
    <w:rPr>
      <w:rFonts w:ascii="Calibri" w:eastAsia="Calibri" w:hAnsi="Calibri"/>
      <w:sz w:val="22"/>
      <w:szCs w:val="22"/>
    </w:rPr>
  </w:style>
  <w:style w:type="character" w:customStyle="1" w:styleId="apple-converted-space">
    <w:name w:val="apple-converted-space"/>
    <w:basedOn w:val="DefaultParagraphFont"/>
    <w:rsid w:val="00CD755B"/>
  </w:style>
  <w:style w:type="character" w:customStyle="1" w:styleId="Heading1Char">
    <w:name w:val="Heading 1 Char"/>
    <w:basedOn w:val="DefaultParagraphFont"/>
    <w:link w:val="Heading1"/>
    <w:rsid w:val="00A616E4"/>
    <w:rPr>
      <w:rFonts w:ascii="Times New Roman" w:eastAsia="Times New Roman" w:hAnsi="Times New Roman"/>
      <w:b/>
      <w:caps/>
      <w:spacing w:val="5"/>
      <w:sz w:val="21"/>
      <w:szCs w:val="21"/>
      <w:shd w:val="pct10" w:color="C6D9F1" w:themeColor="text2" w:themeTint="33" w:fill="C6D9F1" w:themeFill="text2" w:themeFillTint="33"/>
      <w:lang w:val="en-GB"/>
    </w:rPr>
  </w:style>
  <w:style w:type="paragraph" w:styleId="NormalWeb">
    <w:name w:val="Normal (Web)"/>
    <w:basedOn w:val="Normal"/>
    <w:uiPriority w:val="99"/>
    <w:semiHidden/>
    <w:unhideWhenUsed/>
    <w:rsid w:val="00A616E4"/>
    <w:pPr>
      <w:spacing w:before="100" w:beforeAutospacing="1" w:after="100" w:afterAutospacing="1"/>
      <w:jc w:val="left"/>
    </w:pPr>
    <w:rPr>
      <w:rFonts w:eastAsiaTheme="minorEastAsia"/>
      <w:lang w:val="en-US"/>
    </w:rPr>
  </w:style>
  <w:style w:type="character" w:styleId="FollowedHyperlink">
    <w:name w:val="FollowedHyperlink"/>
    <w:basedOn w:val="DefaultParagraphFont"/>
    <w:uiPriority w:val="99"/>
    <w:semiHidden/>
    <w:unhideWhenUsed/>
    <w:rsid w:val="00B229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25742">
      <w:bodyDiv w:val="1"/>
      <w:marLeft w:val="0"/>
      <w:marRight w:val="0"/>
      <w:marTop w:val="0"/>
      <w:marBottom w:val="0"/>
      <w:divBdr>
        <w:top w:val="none" w:sz="0" w:space="0" w:color="auto"/>
        <w:left w:val="none" w:sz="0" w:space="0" w:color="auto"/>
        <w:bottom w:val="none" w:sz="0" w:space="0" w:color="auto"/>
        <w:right w:val="none" w:sz="0" w:space="0" w:color="auto"/>
      </w:divBdr>
    </w:div>
    <w:div w:id="160700044">
      <w:bodyDiv w:val="1"/>
      <w:marLeft w:val="0"/>
      <w:marRight w:val="0"/>
      <w:marTop w:val="0"/>
      <w:marBottom w:val="0"/>
      <w:divBdr>
        <w:top w:val="none" w:sz="0" w:space="0" w:color="auto"/>
        <w:left w:val="none" w:sz="0" w:space="0" w:color="auto"/>
        <w:bottom w:val="none" w:sz="0" w:space="0" w:color="auto"/>
        <w:right w:val="none" w:sz="0" w:space="0" w:color="auto"/>
      </w:divBdr>
    </w:div>
    <w:div w:id="236063701">
      <w:bodyDiv w:val="1"/>
      <w:marLeft w:val="0"/>
      <w:marRight w:val="0"/>
      <w:marTop w:val="0"/>
      <w:marBottom w:val="0"/>
      <w:divBdr>
        <w:top w:val="none" w:sz="0" w:space="0" w:color="auto"/>
        <w:left w:val="none" w:sz="0" w:space="0" w:color="auto"/>
        <w:bottom w:val="none" w:sz="0" w:space="0" w:color="auto"/>
        <w:right w:val="none" w:sz="0" w:space="0" w:color="auto"/>
      </w:divBdr>
    </w:div>
    <w:div w:id="504445249">
      <w:bodyDiv w:val="1"/>
      <w:marLeft w:val="0"/>
      <w:marRight w:val="0"/>
      <w:marTop w:val="0"/>
      <w:marBottom w:val="0"/>
      <w:divBdr>
        <w:top w:val="none" w:sz="0" w:space="0" w:color="auto"/>
        <w:left w:val="none" w:sz="0" w:space="0" w:color="auto"/>
        <w:bottom w:val="none" w:sz="0" w:space="0" w:color="auto"/>
        <w:right w:val="none" w:sz="0" w:space="0" w:color="auto"/>
      </w:divBdr>
    </w:div>
    <w:div w:id="723455354">
      <w:bodyDiv w:val="1"/>
      <w:marLeft w:val="0"/>
      <w:marRight w:val="0"/>
      <w:marTop w:val="0"/>
      <w:marBottom w:val="0"/>
      <w:divBdr>
        <w:top w:val="none" w:sz="0" w:space="0" w:color="auto"/>
        <w:left w:val="none" w:sz="0" w:space="0" w:color="auto"/>
        <w:bottom w:val="none" w:sz="0" w:space="0" w:color="auto"/>
        <w:right w:val="none" w:sz="0" w:space="0" w:color="auto"/>
      </w:divBdr>
    </w:div>
    <w:div w:id="968436270">
      <w:bodyDiv w:val="1"/>
      <w:marLeft w:val="0"/>
      <w:marRight w:val="0"/>
      <w:marTop w:val="0"/>
      <w:marBottom w:val="0"/>
      <w:divBdr>
        <w:top w:val="none" w:sz="0" w:space="0" w:color="auto"/>
        <w:left w:val="none" w:sz="0" w:space="0" w:color="auto"/>
        <w:bottom w:val="none" w:sz="0" w:space="0" w:color="auto"/>
        <w:right w:val="none" w:sz="0" w:space="0" w:color="auto"/>
      </w:divBdr>
    </w:div>
    <w:div w:id="1469863271">
      <w:bodyDiv w:val="1"/>
      <w:marLeft w:val="0"/>
      <w:marRight w:val="0"/>
      <w:marTop w:val="0"/>
      <w:marBottom w:val="0"/>
      <w:divBdr>
        <w:top w:val="none" w:sz="0" w:space="0" w:color="auto"/>
        <w:left w:val="none" w:sz="0" w:space="0" w:color="auto"/>
        <w:bottom w:val="none" w:sz="0" w:space="0" w:color="auto"/>
        <w:right w:val="none" w:sz="0" w:space="0" w:color="auto"/>
      </w:divBdr>
    </w:div>
    <w:div w:id="2056729626">
      <w:bodyDiv w:val="1"/>
      <w:marLeft w:val="0"/>
      <w:marRight w:val="0"/>
      <w:marTop w:val="0"/>
      <w:marBottom w:val="0"/>
      <w:divBdr>
        <w:top w:val="none" w:sz="0" w:space="0" w:color="auto"/>
        <w:left w:val="none" w:sz="0" w:space="0" w:color="auto"/>
        <w:bottom w:val="none" w:sz="0" w:space="0" w:color="auto"/>
        <w:right w:val="none" w:sz="0" w:space="0" w:color="auto"/>
      </w:divBdr>
    </w:div>
    <w:div w:id="2091659162">
      <w:bodyDiv w:val="1"/>
      <w:marLeft w:val="0"/>
      <w:marRight w:val="0"/>
      <w:marTop w:val="0"/>
      <w:marBottom w:val="0"/>
      <w:divBdr>
        <w:top w:val="none" w:sz="0" w:space="0" w:color="auto"/>
        <w:left w:val="none" w:sz="0" w:space="0" w:color="auto"/>
        <w:bottom w:val="none" w:sz="0" w:space="0" w:color="auto"/>
        <w:right w:val="none" w:sz="0" w:space="0" w:color="auto"/>
      </w:divBdr>
      <w:divsChild>
        <w:div w:id="270013995">
          <w:marLeft w:val="0"/>
          <w:marRight w:val="0"/>
          <w:marTop w:val="0"/>
          <w:marBottom w:val="0"/>
          <w:divBdr>
            <w:top w:val="single" w:sz="4"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eom.eu/kenya2017"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ul.anderson@eueomkenya2017.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nstagram.com/eueomkenya/?hl=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acebook.com/eueomkenya2017"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mvermeulen\AppData\Local\Microsoft\Windows\Temporary%20Internet%20Files\Content.Outlook\54R94SMO\Th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676BB-FCBB-43DB-87C9-5BA1F0D8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15E7BFA1</Template>
  <TotalTime>0</TotalTime>
  <Pages>10</Pages>
  <Words>4145</Words>
  <Characters>23628</Characters>
  <Application>Microsoft Office Word</Application>
  <DocSecurity>4</DocSecurity>
  <Lines>196</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PRELIMINARY STATEMENT</vt:lpstr>
      <vt:lpstr>PRELIMINARY STATEMENT</vt:lpstr>
    </vt:vector>
  </TitlesOfParts>
  <Company>Microsoft</Company>
  <LinksUpToDate>false</LinksUpToDate>
  <CharactersWithSpaces>27718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STATEMENT</dc:title>
  <dc:creator>NEEDS</dc:creator>
  <cp:lastModifiedBy>VERMEULEN Mathias </cp:lastModifiedBy>
  <cp:revision>2</cp:revision>
  <cp:lastPrinted>2017-09-13T19:38:00Z</cp:lastPrinted>
  <dcterms:created xsi:type="dcterms:W3CDTF">2017-09-14T07:30:00Z</dcterms:created>
  <dcterms:modified xsi:type="dcterms:W3CDTF">2017-09-14T07:30:00Z</dcterms:modified>
</cp:coreProperties>
</file>